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FAA95" w14:textId="5222B410" w:rsidR="004C227C" w:rsidRPr="00740E76" w:rsidRDefault="004C227C" w:rsidP="004C227C">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A80D3B">
        <w:rPr>
          <w:rFonts w:ascii="Arial" w:hAnsi="Arial" w:cs="Arial"/>
          <w:b/>
          <w:bCs/>
          <w:sz w:val="28"/>
        </w:rPr>
        <w:t>3GPP TSG RAN WG1 #1</w:t>
      </w:r>
      <w:r>
        <w:rPr>
          <w:rFonts w:ascii="Arial" w:hAnsi="Arial" w:cs="Arial"/>
          <w:b/>
          <w:bCs/>
          <w:sz w:val="28"/>
        </w:rPr>
        <w:t>1</w:t>
      </w:r>
      <w:r w:rsidRPr="00A979A7">
        <w:rPr>
          <w:rFonts w:ascii="Arial" w:hAnsi="Arial" w:cs="Arial"/>
          <w:b/>
          <w:bCs/>
          <w:sz w:val="28"/>
        </w:rPr>
        <w:t>8</w:t>
      </w:r>
      <w:r w:rsidRPr="00884801">
        <w:rPr>
          <w:rFonts w:ascii="Arial" w:hAnsi="Arial" w:cs="Arial"/>
          <w:b/>
          <w:bCs/>
          <w:sz w:val="28"/>
        </w:rPr>
        <w:t xml:space="preserve">      </w:t>
      </w:r>
      <w:r w:rsidRPr="00265ECB">
        <w:rPr>
          <w:rFonts w:ascii="Arial" w:hAnsi="Arial" w:cs="Arial"/>
          <w:b/>
          <w:bCs/>
          <w:sz w:val="28"/>
        </w:rPr>
        <w:t xml:space="preserve"> </w:t>
      </w:r>
      <w:r w:rsidRPr="00884801">
        <w:rPr>
          <w:rFonts w:ascii="Arial" w:hAnsi="Arial" w:cs="Arial"/>
          <w:b/>
          <w:bCs/>
          <w:sz w:val="28"/>
        </w:rPr>
        <w:t xml:space="preserve">                                          </w:t>
      </w:r>
      <w:r w:rsidRPr="00A979A7">
        <w:rPr>
          <w:rFonts w:ascii="Arial" w:hAnsi="Arial" w:cs="Arial"/>
          <w:b/>
          <w:bCs/>
          <w:sz w:val="28"/>
        </w:rPr>
        <w:t xml:space="preserve">     </w:t>
      </w:r>
      <w:r w:rsidRPr="00884801">
        <w:rPr>
          <w:rFonts w:ascii="Arial" w:hAnsi="Arial" w:cs="Arial"/>
          <w:b/>
          <w:bCs/>
          <w:sz w:val="28"/>
        </w:rPr>
        <w:t xml:space="preserve"> </w:t>
      </w:r>
      <w:r w:rsidR="00A979A7" w:rsidRPr="00A979A7">
        <w:rPr>
          <w:rFonts w:ascii="Arial" w:hAnsi="Arial" w:cs="Arial"/>
          <w:b/>
          <w:bCs/>
          <w:sz w:val="28"/>
        </w:rPr>
        <w:t>R1-2406782</w:t>
      </w:r>
    </w:p>
    <w:p w14:paraId="13EFFD75" w14:textId="77777777" w:rsidR="004C227C" w:rsidRDefault="00000000" w:rsidP="004C227C">
      <w:pPr>
        <w:tabs>
          <w:tab w:val="center" w:pos="4536"/>
          <w:tab w:val="right" w:pos="7938"/>
          <w:tab w:val="right" w:pos="9639"/>
        </w:tabs>
        <w:ind w:right="2"/>
        <w:rPr>
          <w:rFonts w:ascii="Arial" w:eastAsia="MS Mincho" w:hAnsi="Arial" w:cs="Arial"/>
          <w:b/>
          <w:bCs/>
          <w:sz w:val="28"/>
          <w:lang w:eastAsia="ja-JP"/>
        </w:rPr>
      </w:pPr>
      <w:hyperlink r:id="rId6" w:tgtFrame="_blank" w:history="1">
        <w:r w:rsidR="004C227C" w:rsidRPr="00740E76">
          <w:rPr>
            <w:rFonts w:ascii="Arial" w:eastAsia="MS Mincho" w:hAnsi="Arial" w:cs="Arial"/>
            <w:b/>
            <w:bCs/>
            <w:sz w:val="28"/>
            <w:lang w:val="en-GB" w:eastAsia="ja-JP"/>
          </w:rPr>
          <w:t>Maastricht</w:t>
        </w:r>
      </w:hyperlink>
      <w:r w:rsidR="004C227C" w:rsidRPr="00740E76">
        <w:rPr>
          <w:rFonts w:ascii="Arial" w:eastAsia="MS Mincho" w:hAnsi="Arial" w:cs="Arial"/>
          <w:b/>
          <w:bCs/>
          <w:sz w:val="28"/>
          <w:lang w:val="en-GB" w:eastAsia="ja-JP"/>
        </w:rPr>
        <w:t xml:space="preserve">, </w:t>
      </w:r>
      <w:r w:rsidR="004C227C">
        <w:rPr>
          <w:rFonts w:ascii="Arial" w:eastAsia="MS Mincho" w:hAnsi="Arial" w:cs="Arial"/>
          <w:b/>
          <w:bCs/>
          <w:sz w:val="28"/>
          <w:lang w:val="en-GB" w:eastAsia="ja-JP"/>
        </w:rPr>
        <w:t>NL</w:t>
      </w:r>
      <w:r w:rsidR="004C227C" w:rsidRPr="00740E76">
        <w:rPr>
          <w:rFonts w:ascii="Arial" w:eastAsia="MS Mincho" w:hAnsi="Arial" w:cs="Arial"/>
          <w:b/>
          <w:bCs/>
          <w:sz w:val="28"/>
          <w:lang w:val="en-GB" w:eastAsia="ja-JP"/>
        </w:rPr>
        <w:t>,</w:t>
      </w:r>
      <w:r w:rsidR="004C227C">
        <w:rPr>
          <w:rFonts w:ascii="Arial" w:eastAsia="MS Mincho" w:hAnsi="Arial" w:cs="Arial"/>
          <w:b/>
          <w:bCs/>
          <w:sz w:val="28"/>
          <w:lang w:eastAsia="ja-JP"/>
        </w:rPr>
        <w:t xml:space="preserve"> </w:t>
      </w:r>
      <w:r w:rsidR="004C227C">
        <w:rPr>
          <w:rFonts w:ascii="Arial" w:eastAsia="MS Mincho" w:hAnsi="Arial" w:cs="Arial"/>
          <w:b/>
          <w:bCs/>
          <w:sz w:val="28"/>
          <w:lang w:val="en-GB" w:eastAsia="ja-JP"/>
        </w:rPr>
        <w:t>August</w:t>
      </w:r>
      <w:r w:rsidR="004C227C">
        <w:rPr>
          <w:rFonts w:ascii="Arial" w:eastAsia="MS Mincho" w:hAnsi="Arial" w:cs="Arial"/>
          <w:b/>
          <w:bCs/>
          <w:sz w:val="28"/>
          <w:lang w:eastAsia="ja-JP"/>
        </w:rPr>
        <w:t xml:space="preserve"> </w:t>
      </w:r>
      <w:r w:rsidR="004C227C">
        <w:rPr>
          <w:rFonts w:ascii="Arial" w:eastAsia="MS Mincho" w:hAnsi="Arial" w:cs="Arial"/>
          <w:b/>
          <w:bCs/>
          <w:sz w:val="28"/>
          <w:lang w:val="en-GB" w:eastAsia="ja-JP"/>
        </w:rPr>
        <w:t>19</w:t>
      </w:r>
      <w:r w:rsidR="004C227C">
        <w:rPr>
          <w:rFonts w:ascii="Malgun Gothic" w:eastAsia="Malgun Gothic" w:hAnsi="Malgun Gothic" w:cs="Malgun Gothic" w:hint="eastAsia"/>
          <w:b/>
          <w:bCs/>
          <w:sz w:val="28"/>
          <w:vertAlign w:val="superscript"/>
          <w:lang w:eastAsia="ko-KR"/>
        </w:rPr>
        <w:t>th</w:t>
      </w:r>
      <w:r w:rsidR="004C227C">
        <w:rPr>
          <w:rFonts w:ascii="Arial" w:eastAsia="MS Mincho" w:hAnsi="Arial" w:cs="Arial"/>
          <w:b/>
          <w:bCs/>
          <w:sz w:val="28"/>
          <w:lang w:eastAsia="ja-JP"/>
        </w:rPr>
        <w:t xml:space="preserve"> </w:t>
      </w:r>
      <w:r w:rsidR="004C227C" w:rsidRPr="0032415B">
        <w:rPr>
          <w:rFonts w:ascii="Arial" w:hAnsi="Arial" w:cs="Arial"/>
          <w:b/>
          <w:bCs/>
          <w:sz w:val="28"/>
        </w:rPr>
        <w:t>–</w:t>
      </w:r>
      <w:r w:rsidR="004C227C">
        <w:rPr>
          <w:rFonts w:ascii="Arial" w:hAnsi="Arial" w:cs="Arial"/>
          <w:b/>
          <w:bCs/>
          <w:sz w:val="28"/>
        </w:rPr>
        <w:t xml:space="preserve"> 2</w:t>
      </w:r>
      <w:r w:rsidR="004C227C">
        <w:rPr>
          <w:rFonts w:ascii="Arial" w:hAnsi="Arial" w:cs="Arial"/>
          <w:b/>
          <w:bCs/>
          <w:sz w:val="28"/>
          <w:lang w:val="en-GB"/>
        </w:rPr>
        <w:t>3</w:t>
      </w:r>
      <w:r w:rsidR="004C227C">
        <w:rPr>
          <w:rFonts w:ascii="Arial" w:hAnsi="Arial" w:cs="Arial"/>
          <w:b/>
          <w:bCs/>
          <w:sz w:val="28"/>
          <w:vertAlign w:val="superscript"/>
          <w:lang w:val="en-GB" w:eastAsia="ko-KR"/>
        </w:rPr>
        <w:t>rd</w:t>
      </w:r>
      <w:r w:rsidR="004C227C">
        <w:rPr>
          <w:rFonts w:ascii="Arial" w:eastAsia="MS Mincho" w:hAnsi="Arial" w:cs="Arial"/>
          <w:b/>
          <w:bCs/>
          <w:sz w:val="28"/>
          <w:lang w:eastAsia="ja-JP"/>
        </w:rPr>
        <w:t>, 2024</w:t>
      </w:r>
    </w:p>
    <w:p w14:paraId="3A0AE364" w14:textId="77777777" w:rsidR="00DB056D" w:rsidRPr="00AD44E7"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AD44E7" w:rsidRDefault="00A40271" w:rsidP="00A40271">
      <w:pPr>
        <w:pStyle w:val="Comments"/>
        <w:rPr>
          <w:rFonts w:cs="Arial"/>
          <w:b/>
          <w:bCs/>
          <w:i w:val="0"/>
          <w:noProof w:val="0"/>
          <w:sz w:val="28"/>
          <w:szCs w:val="20"/>
          <w:lang w:eastAsia="ja-JP"/>
        </w:rPr>
      </w:pPr>
    </w:p>
    <w:p w14:paraId="166C5644" w14:textId="1F98CB45" w:rsidR="00A40271" w:rsidRPr="00AD44E7" w:rsidRDefault="00A40271" w:rsidP="00A40271">
      <w:pPr>
        <w:pStyle w:val="Header"/>
        <w:rPr>
          <w:rFonts w:eastAsia="MS Mincho" w:cs="Arial"/>
          <w:bCs/>
          <w:noProof w:val="0"/>
          <w:sz w:val="28"/>
          <w:lang w:eastAsia="ja-JP"/>
        </w:rPr>
      </w:pPr>
      <w:r w:rsidRPr="00AD44E7">
        <w:rPr>
          <w:rFonts w:eastAsia="MS Mincho" w:cs="Arial"/>
          <w:bCs/>
          <w:noProof w:val="0"/>
          <w:sz w:val="28"/>
          <w:lang w:eastAsia="ja-JP"/>
        </w:rPr>
        <w:t>Source: Google</w:t>
      </w:r>
    </w:p>
    <w:p w14:paraId="55362DDE" w14:textId="0AAD08CB" w:rsidR="00A40271" w:rsidRPr="00AD44E7" w:rsidRDefault="00A40271" w:rsidP="00A40271">
      <w:pPr>
        <w:pStyle w:val="Header"/>
        <w:rPr>
          <w:rFonts w:eastAsia="MS Mincho" w:cs="Arial"/>
          <w:bCs/>
          <w:noProof w:val="0"/>
          <w:sz w:val="28"/>
          <w:lang w:eastAsia="ja-JP"/>
        </w:rPr>
      </w:pPr>
      <w:r w:rsidRPr="00AD44E7">
        <w:rPr>
          <w:rFonts w:eastAsia="MS Mincho" w:cs="Arial"/>
          <w:bCs/>
          <w:noProof w:val="0"/>
          <w:sz w:val="28"/>
          <w:lang w:eastAsia="ja-JP"/>
        </w:rPr>
        <w:t>Title:</w:t>
      </w:r>
      <w:r w:rsidRPr="00AD44E7">
        <w:rPr>
          <w:rFonts w:eastAsia="MS Mincho" w:cs="Arial"/>
          <w:bCs/>
          <w:noProof w:val="0"/>
          <w:sz w:val="28"/>
          <w:lang w:eastAsia="ja-JP"/>
        </w:rPr>
        <w:tab/>
      </w:r>
      <w:r w:rsidR="007C3BC4" w:rsidRPr="00AD44E7">
        <w:rPr>
          <w:rFonts w:eastAsia="MS Mincho" w:cs="Arial"/>
          <w:bCs/>
          <w:noProof w:val="0"/>
          <w:sz w:val="28"/>
          <w:lang w:eastAsia="ja-JP"/>
        </w:rPr>
        <w:t>On</w:t>
      </w:r>
      <w:r w:rsidR="00FD1DD9" w:rsidRPr="00AD44E7">
        <w:rPr>
          <w:rFonts w:eastAsia="MS Mincho" w:cs="Arial"/>
          <w:bCs/>
          <w:noProof w:val="0"/>
          <w:sz w:val="28"/>
          <w:lang w:eastAsia="ja-JP"/>
        </w:rPr>
        <w:t xml:space="preserve"> the</w:t>
      </w:r>
      <w:r w:rsidR="007C3BC4" w:rsidRPr="00AD44E7">
        <w:rPr>
          <w:rFonts w:eastAsia="MS Mincho" w:cs="Arial"/>
          <w:bCs/>
          <w:noProof w:val="0"/>
          <w:sz w:val="28"/>
          <w:lang w:eastAsia="ja-JP"/>
        </w:rPr>
        <w:t xml:space="preserve"> </w:t>
      </w:r>
      <w:r w:rsidR="00FD1DD9" w:rsidRPr="00AD44E7">
        <w:rPr>
          <w:rFonts w:eastAsia="MS Mincho" w:cs="Arial"/>
          <w:bCs/>
          <w:noProof w:val="0"/>
          <w:sz w:val="28"/>
          <w:lang w:eastAsia="ja-JP"/>
        </w:rPr>
        <w:t xml:space="preserve">gNB-to-gNB CLI and the UE-to-UE CLI </w:t>
      </w:r>
      <w:r w:rsidR="00CC4110" w:rsidRPr="00AD44E7">
        <w:rPr>
          <w:rFonts w:eastAsia="MS Mincho" w:cs="Arial"/>
          <w:bCs/>
          <w:noProof w:val="0"/>
          <w:sz w:val="28"/>
          <w:lang w:eastAsia="ja-JP"/>
        </w:rPr>
        <w:t>handling</w:t>
      </w:r>
    </w:p>
    <w:p w14:paraId="1A8A7C36" w14:textId="77777777" w:rsidR="00A40271" w:rsidRPr="00AD44E7" w:rsidRDefault="00A40271" w:rsidP="00A40271">
      <w:pPr>
        <w:pStyle w:val="Header"/>
        <w:rPr>
          <w:rFonts w:eastAsia="MS Mincho" w:cs="Arial"/>
          <w:bCs/>
          <w:noProof w:val="0"/>
          <w:sz w:val="28"/>
          <w:lang w:eastAsia="ja-JP"/>
        </w:rPr>
      </w:pPr>
      <w:r w:rsidRPr="00AD44E7">
        <w:rPr>
          <w:rFonts w:eastAsia="MS Mincho" w:cs="Arial"/>
          <w:bCs/>
          <w:noProof w:val="0"/>
          <w:sz w:val="28"/>
          <w:lang w:eastAsia="ja-JP"/>
        </w:rPr>
        <w:t>Document for: Discussion and Decision</w:t>
      </w:r>
    </w:p>
    <w:bookmarkEnd w:id="1"/>
    <w:bookmarkEnd w:id="2"/>
    <w:p w14:paraId="43586964" w14:textId="77777777" w:rsidR="006A16BD" w:rsidRPr="00AD44E7"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Default="00EE036A" w:rsidP="00EE036A">
      <w:pPr>
        <w:pStyle w:val="Heading1"/>
        <w:jc w:val="both"/>
        <w:rPr>
          <w:lang w:eastAsia="zh-TW"/>
        </w:rPr>
      </w:pPr>
      <w:r w:rsidRPr="00AD44E7">
        <w:rPr>
          <w:rFonts w:hint="eastAsia"/>
          <w:lang w:eastAsia="zh-TW"/>
        </w:rPr>
        <w:t>Introduction</w:t>
      </w:r>
    </w:p>
    <w:p w14:paraId="59BE7731" w14:textId="77777777" w:rsidR="006A16BD" w:rsidRPr="006A16BD" w:rsidRDefault="006A16BD" w:rsidP="006A16BD">
      <w:pPr>
        <w:rPr>
          <w:lang w:val="en-GB" w:eastAsia="zh-TW"/>
        </w:rPr>
      </w:pPr>
    </w:p>
    <w:p w14:paraId="03B4DCF1" w14:textId="5E33B335" w:rsidR="00602D4C" w:rsidRPr="00746C59" w:rsidRDefault="00815A34" w:rsidP="00D0331B">
      <w:pPr>
        <w:rPr>
          <w:rFonts w:eastAsia="Malgun Gothic"/>
          <w:lang w:val="en-US" w:eastAsia="ko-KR"/>
        </w:rPr>
      </w:pPr>
      <w:r w:rsidRPr="00746C59">
        <w:rPr>
          <w:rFonts w:eastAsia="Times"/>
          <w:lang w:val="en-US"/>
        </w:rPr>
        <w:t xml:space="preserve">The </w:t>
      </w:r>
      <w:r w:rsidR="00D0331B" w:rsidRPr="00746C59">
        <w:rPr>
          <w:rFonts w:eastAsia="Times"/>
          <w:lang w:val="en-US"/>
        </w:rPr>
        <w:t xml:space="preserve">Rel-19 Work item for </w:t>
      </w:r>
      <w:r w:rsidR="007C3BC4" w:rsidRPr="00746C59">
        <w:rPr>
          <w:rFonts w:eastAsia="Times"/>
          <w:lang w:val="en-US"/>
        </w:rPr>
        <w:t>the evolution of NR duplex operation</w:t>
      </w:r>
      <w:r w:rsidR="00D0331B" w:rsidRPr="00746C59">
        <w:rPr>
          <w:rFonts w:eastAsia="Times"/>
          <w:lang w:val="en-US"/>
        </w:rPr>
        <w:t xml:space="preserve"> has been approved in RAN#102</w:t>
      </w:r>
      <w:r w:rsidR="00552C39" w:rsidRPr="00746C59">
        <w:rPr>
          <w:rFonts w:eastAsia="Times"/>
          <w:lang w:val="en-US"/>
        </w:rPr>
        <w:t xml:space="preserve"> </w:t>
      </w:r>
      <w:r w:rsidR="00552C39" w:rsidRPr="00746C59">
        <w:rPr>
          <w:rFonts w:eastAsia="Times"/>
          <w:lang w:val="en-US"/>
        </w:rPr>
        <w:fldChar w:fldCharType="begin"/>
      </w:r>
      <w:r w:rsidR="00552C39" w:rsidRPr="00746C59">
        <w:rPr>
          <w:rFonts w:eastAsia="Times"/>
          <w:lang w:val="en-US"/>
        </w:rPr>
        <w:instrText xml:space="preserve"> REF _Ref158626532 \r \h </w:instrText>
      </w:r>
      <w:r w:rsidRPr="00746C59">
        <w:rPr>
          <w:rFonts w:eastAsia="Times"/>
          <w:lang w:val="en-US"/>
        </w:rPr>
        <w:instrText xml:space="preserve"> \* MERGEFORMAT </w:instrText>
      </w:r>
      <w:r w:rsidR="00552C39" w:rsidRPr="00746C59">
        <w:rPr>
          <w:rFonts w:eastAsia="Times"/>
          <w:lang w:val="en-US"/>
        </w:rPr>
      </w:r>
      <w:r w:rsidR="00552C39" w:rsidRPr="00746C59">
        <w:rPr>
          <w:rFonts w:eastAsia="Times"/>
          <w:lang w:val="en-US"/>
        </w:rPr>
        <w:fldChar w:fldCharType="separate"/>
      </w:r>
      <w:r w:rsidR="00552C39" w:rsidRPr="00746C59">
        <w:rPr>
          <w:rFonts w:eastAsia="Times"/>
          <w:lang w:val="en-US"/>
        </w:rPr>
        <w:t>[1]</w:t>
      </w:r>
      <w:r w:rsidR="00552C39" w:rsidRPr="00746C59">
        <w:rPr>
          <w:rFonts w:eastAsia="Times"/>
          <w:lang w:val="en-US"/>
        </w:rPr>
        <w:fldChar w:fldCharType="end"/>
      </w:r>
      <w:r w:rsidR="00D0331B" w:rsidRPr="00746C59">
        <w:rPr>
          <w:rFonts w:eastAsia="Times"/>
          <w:lang w:val="en-US"/>
        </w:rPr>
        <w:t xml:space="preserve">. </w:t>
      </w:r>
      <w:r w:rsidR="00D82F03" w:rsidRPr="00746C59">
        <w:rPr>
          <w:rFonts w:eastAsia="Times"/>
          <w:lang w:val="en-US"/>
        </w:rPr>
        <w:t xml:space="preserve">One of the main constraints in effective SBFD operation is the </w:t>
      </w:r>
      <w:r w:rsidR="00D82F03" w:rsidRPr="00746C59">
        <w:rPr>
          <w:rFonts w:eastAsia="Malgun Gothic"/>
          <w:lang w:val="en-US" w:eastAsia="ko-KR"/>
        </w:rPr>
        <w:t>gNB-to-gNB</w:t>
      </w:r>
      <w:r w:rsidR="00D82F03" w:rsidRPr="00746C59">
        <w:rPr>
          <w:rFonts w:eastAsia="Times"/>
          <w:lang w:val="en-US"/>
        </w:rPr>
        <w:t xml:space="preserve"> CLI and the </w:t>
      </w:r>
      <w:r w:rsidR="00D82F03" w:rsidRPr="00746C59">
        <w:rPr>
          <w:rFonts w:eastAsia="Malgun Gothic"/>
          <w:lang w:val="en-US" w:eastAsia="ko-KR"/>
        </w:rPr>
        <w:t xml:space="preserve">UE-to-UE CLI. </w:t>
      </w:r>
    </w:p>
    <w:p w14:paraId="4E08C98B" w14:textId="77777777" w:rsidR="00602D4C" w:rsidRPr="00746C59" w:rsidRDefault="00602D4C" w:rsidP="00D0331B">
      <w:pPr>
        <w:rPr>
          <w:rFonts w:eastAsia="Malgun Gothic"/>
          <w:lang w:val="en-US" w:eastAsia="ko-KR"/>
        </w:rPr>
      </w:pPr>
    </w:p>
    <w:p w14:paraId="7A0DFA7C" w14:textId="169C5996" w:rsidR="00602D4C" w:rsidRPr="00746C59" w:rsidRDefault="00204726" w:rsidP="00602D4C">
      <w:pPr>
        <w:rPr>
          <w:rFonts w:eastAsia="Malgun Gothic"/>
          <w:lang w:val="en-US" w:eastAsia="ko-KR"/>
        </w:rPr>
      </w:pPr>
      <w:r w:rsidRPr="00746C59">
        <w:rPr>
          <w:rFonts w:eastAsia="Malgun Gothic"/>
          <w:lang w:val="en-US" w:eastAsia="ko-KR"/>
        </w:rPr>
        <w:t>Conventional</w:t>
      </w:r>
      <w:r w:rsidR="00602D4C" w:rsidRPr="00746C59">
        <w:rPr>
          <w:rFonts w:eastAsia="Malgun Gothic"/>
          <w:lang w:val="en-US" w:eastAsia="ko-KR"/>
        </w:rPr>
        <w:t xml:space="preserve"> TDD </w:t>
      </w:r>
      <w:r w:rsidRPr="00746C59">
        <w:rPr>
          <w:rFonts w:eastAsia="Malgun Gothic"/>
          <w:lang w:val="en-US" w:eastAsia="ko-KR"/>
        </w:rPr>
        <w:t>operation</w:t>
      </w:r>
      <w:r w:rsidR="00602D4C" w:rsidRPr="00746C59">
        <w:rPr>
          <w:rFonts w:eastAsia="Malgun Gothic"/>
          <w:lang w:val="en-US" w:eastAsia="ko-KR"/>
        </w:rPr>
        <w:t xml:space="preserve"> mitigate interference between neighboring UEs and </w:t>
      </w:r>
      <w:proofErr w:type="spellStart"/>
      <w:r w:rsidR="00602D4C" w:rsidRPr="00746C59">
        <w:rPr>
          <w:rFonts w:eastAsia="Malgun Gothic"/>
          <w:lang w:val="en-US" w:eastAsia="ko-KR"/>
        </w:rPr>
        <w:t>gNBs</w:t>
      </w:r>
      <w:proofErr w:type="spellEnd"/>
      <w:r w:rsidR="00602D4C" w:rsidRPr="00746C59">
        <w:rPr>
          <w:rFonts w:eastAsia="Malgun Gothic"/>
          <w:lang w:val="en-US" w:eastAsia="ko-KR"/>
        </w:rPr>
        <w:t xml:space="preserve"> by segregating UL and DL transmissions into distinct time slots</w:t>
      </w:r>
      <w:r w:rsidR="00DA775B" w:rsidRPr="00746C59">
        <w:rPr>
          <w:rFonts w:eastAsia="Malgun Gothic"/>
          <w:lang w:val="en-US" w:eastAsia="ko-KR"/>
        </w:rPr>
        <w:t>/symbols</w:t>
      </w:r>
      <w:r w:rsidRPr="00746C59">
        <w:rPr>
          <w:rFonts w:eastAsia="Malgun Gothic"/>
          <w:lang w:val="en-US" w:eastAsia="ko-KR"/>
        </w:rPr>
        <w:t>, hence splitting the time domain between UL and DL</w:t>
      </w:r>
      <w:r w:rsidR="00602D4C" w:rsidRPr="00746C59">
        <w:rPr>
          <w:rFonts w:eastAsia="Malgun Gothic"/>
          <w:lang w:val="en-US" w:eastAsia="ko-KR"/>
        </w:rPr>
        <w:t>. In contrast, SBFD allows simultaneous UL and DL transmissions within the same time slot</w:t>
      </w:r>
      <w:r w:rsidR="00DA775B" w:rsidRPr="00746C59">
        <w:rPr>
          <w:rFonts w:eastAsia="Malgun Gothic"/>
          <w:lang w:val="en-US" w:eastAsia="ko-KR"/>
        </w:rPr>
        <w:t>s/symbols</w:t>
      </w:r>
      <w:r w:rsidR="00602D4C" w:rsidRPr="00746C59">
        <w:rPr>
          <w:rFonts w:eastAsia="Malgun Gothic"/>
          <w:lang w:val="en-US" w:eastAsia="ko-KR"/>
        </w:rPr>
        <w:t xml:space="preserve"> at the gNB. This introduces the potential for:</w:t>
      </w:r>
    </w:p>
    <w:p w14:paraId="054F6574" w14:textId="77777777" w:rsidR="00602D4C" w:rsidRPr="00746C59" w:rsidRDefault="00602D4C" w:rsidP="00602D4C">
      <w:pPr>
        <w:rPr>
          <w:rFonts w:eastAsia="Malgun Gothic"/>
          <w:lang w:val="en-US" w:eastAsia="ko-KR"/>
        </w:rPr>
      </w:pPr>
    </w:p>
    <w:p w14:paraId="51F3D71A" w14:textId="0AC86BC0" w:rsidR="00602D4C" w:rsidRPr="00746C59" w:rsidRDefault="00602D4C" w:rsidP="00602D4C">
      <w:pPr>
        <w:pStyle w:val="ListParagraph"/>
        <w:numPr>
          <w:ilvl w:val="0"/>
          <w:numId w:val="78"/>
        </w:numPr>
        <w:rPr>
          <w:rFonts w:ascii="Times New Roman" w:eastAsia="Malgun Gothic" w:hAnsi="Times New Roman" w:cs="Times New Roman"/>
          <w:lang w:val="en-US" w:eastAsia="ko-KR"/>
        </w:rPr>
      </w:pPr>
      <w:r w:rsidRPr="00746C59">
        <w:rPr>
          <w:rFonts w:ascii="Times New Roman" w:eastAsia="Malgun Gothic" w:hAnsi="Times New Roman" w:cs="Times New Roman"/>
          <w:lang w:val="en-US" w:eastAsia="ko-KR"/>
        </w:rPr>
        <w:t>Inter-UE CLI: the UL transmission of one</w:t>
      </w:r>
      <w:r w:rsidR="00CE5A7F" w:rsidRPr="00746C59">
        <w:rPr>
          <w:rFonts w:ascii="Times New Roman" w:eastAsia="Malgun Gothic" w:hAnsi="Times New Roman" w:cs="Times New Roman"/>
          <w:lang w:val="en-US" w:eastAsia="ko-KR"/>
        </w:rPr>
        <w:t xml:space="preserve"> </w:t>
      </w:r>
      <w:r w:rsidR="000F2C09" w:rsidRPr="00746C59">
        <w:rPr>
          <w:rFonts w:ascii="Times New Roman" w:eastAsia="Malgun Gothic" w:hAnsi="Times New Roman" w:cs="Times New Roman"/>
          <w:lang w:val="en-US" w:eastAsia="ko-KR"/>
        </w:rPr>
        <w:t>aggressor</w:t>
      </w:r>
      <w:r w:rsidRPr="00746C59">
        <w:rPr>
          <w:rFonts w:ascii="Times New Roman" w:eastAsia="Malgun Gothic" w:hAnsi="Times New Roman" w:cs="Times New Roman"/>
          <w:lang w:val="en-US" w:eastAsia="ko-KR"/>
        </w:rPr>
        <w:t xml:space="preserve"> UE can degrade the DL signal reception quality at a neighboring </w:t>
      </w:r>
      <w:r w:rsidR="00CE5A7F" w:rsidRPr="00746C59">
        <w:rPr>
          <w:rFonts w:ascii="Times New Roman" w:eastAsia="Malgun Gothic" w:hAnsi="Times New Roman" w:cs="Times New Roman"/>
          <w:lang w:val="en-US" w:eastAsia="ko-KR"/>
        </w:rPr>
        <w:t xml:space="preserve">victim </w:t>
      </w:r>
      <w:r w:rsidRPr="00746C59">
        <w:rPr>
          <w:rFonts w:ascii="Times New Roman" w:eastAsia="Malgun Gothic" w:hAnsi="Times New Roman" w:cs="Times New Roman"/>
          <w:lang w:val="en-US" w:eastAsia="ko-KR"/>
        </w:rPr>
        <w:t>UE.</w:t>
      </w:r>
    </w:p>
    <w:p w14:paraId="2E01C117" w14:textId="0F0B147F" w:rsidR="00602D4C" w:rsidRPr="00746C59" w:rsidRDefault="00602D4C" w:rsidP="00602D4C">
      <w:pPr>
        <w:pStyle w:val="ListParagraph"/>
        <w:numPr>
          <w:ilvl w:val="0"/>
          <w:numId w:val="78"/>
        </w:numPr>
        <w:rPr>
          <w:rFonts w:ascii="Times New Roman" w:eastAsia="Malgun Gothic" w:hAnsi="Times New Roman" w:cs="Times New Roman"/>
          <w:lang w:val="en-US" w:eastAsia="ko-KR"/>
        </w:rPr>
      </w:pPr>
      <w:r w:rsidRPr="00746C59">
        <w:rPr>
          <w:rFonts w:ascii="Times New Roman" w:eastAsia="Malgun Gothic" w:hAnsi="Times New Roman" w:cs="Times New Roman"/>
          <w:lang w:val="en-US" w:eastAsia="ko-KR"/>
        </w:rPr>
        <w:t xml:space="preserve">Inter-gNB CLI: the DL transmission of one </w:t>
      </w:r>
      <w:r w:rsidR="00CE5A7F" w:rsidRPr="00746C59">
        <w:rPr>
          <w:rFonts w:ascii="Times New Roman" w:eastAsia="Malgun Gothic" w:hAnsi="Times New Roman" w:cs="Times New Roman"/>
          <w:lang w:val="en-US" w:eastAsia="ko-KR"/>
        </w:rPr>
        <w:t xml:space="preserve">aggressor </w:t>
      </w:r>
      <w:r w:rsidRPr="00746C59">
        <w:rPr>
          <w:rFonts w:ascii="Times New Roman" w:eastAsia="Malgun Gothic" w:hAnsi="Times New Roman" w:cs="Times New Roman"/>
          <w:lang w:val="en-US" w:eastAsia="ko-KR"/>
        </w:rPr>
        <w:t xml:space="preserve">gNB can interfere with the UL signal reception at a neighboring </w:t>
      </w:r>
      <w:r w:rsidR="00CE5A7F" w:rsidRPr="00746C59">
        <w:rPr>
          <w:rFonts w:ascii="Times New Roman" w:eastAsia="Malgun Gothic" w:hAnsi="Times New Roman" w:cs="Times New Roman"/>
          <w:lang w:val="en-US" w:eastAsia="ko-KR"/>
        </w:rPr>
        <w:t xml:space="preserve">victim </w:t>
      </w:r>
      <w:r w:rsidRPr="00746C59">
        <w:rPr>
          <w:rFonts w:ascii="Times New Roman" w:eastAsia="Malgun Gothic" w:hAnsi="Times New Roman" w:cs="Times New Roman"/>
          <w:lang w:val="en-US" w:eastAsia="ko-KR"/>
        </w:rPr>
        <w:t>gNB.</w:t>
      </w:r>
    </w:p>
    <w:p w14:paraId="4109642B" w14:textId="77777777" w:rsidR="00602D4C" w:rsidRPr="00746C59" w:rsidRDefault="00602D4C" w:rsidP="00D0331B">
      <w:pPr>
        <w:rPr>
          <w:rFonts w:eastAsia="Malgun Gothic"/>
          <w:lang w:val="en-US" w:eastAsia="ko-KR"/>
        </w:rPr>
      </w:pPr>
    </w:p>
    <w:p w14:paraId="3BA7F0D0" w14:textId="14594DC6" w:rsidR="00D0331B" w:rsidRPr="00746C59" w:rsidRDefault="00D82F03" w:rsidP="00D0331B">
      <w:pPr>
        <w:rPr>
          <w:rFonts w:eastAsia="Times"/>
          <w:lang w:val="en-US"/>
        </w:rPr>
      </w:pPr>
      <w:r w:rsidRPr="00746C59">
        <w:rPr>
          <w:rFonts w:eastAsia="Times"/>
          <w:lang w:val="en-US"/>
        </w:rPr>
        <w:t xml:space="preserve">Effective CLI mitigation techniques are needed to be specified in Rel-19.  </w:t>
      </w:r>
      <w:r w:rsidR="00D0331B" w:rsidRPr="00746C59">
        <w:rPr>
          <w:rFonts w:eastAsia="Times"/>
          <w:lang w:val="en-US"/>
        </w:rPr>
        <w:t xml:space="preserve">The following </w:t>
      </w:r>
      <w:r w:rsidRPr="00746C59">
        <w:rPr>
          <w:rFonts w:eastAsia="Times"/>
          <w:lang w:val="en-US"/>
        </w:rPr>
        <w:t xml:space="preserve">WI </w:t>
      </w:r>
      <w:r w:rsidR="00D0331B" w:rsidRPr="00746C59">
        <w:rPr>
          <w:rFonts w:eastAsia="Times"/>
          <w:lang w:val="en-US"/>
        </w:rPr>
        <w:t>objective</w:t>
      </w:r>
      <w:r w:rsidR="00552C39" w:rsidRPr="00746C59">
        <w:rPr>
          <w:rFonts w:eastAsia="Times"/>
          <w:lang w:val="en-US"/>
        </w:rPr>
        <w:t>s</w:t>
      </w:r>
      <w:r w:rsidR="00D0331B" w:rsidRPr="00746C59">
        <w:rPr>
          <w:rFonts w:eastAsia="Times"/>
          <w:lang w:val="en-US"/>
        </w:rPr>
        <w:t xml:space="preserve"> for </w:t>
      </w:r>
      <w:r w:rsidR="00552C39" w:rsidRPr="00746C59">
        <w:rPr>
          <w:rFonts w:eastAsia="Times"/>
          <w:lang w:val="en-US"/>
        </w:rPr>
        <w:t xml:space="preserve">the </w:t>
      </w:r>
      <w:r w:rsidRPr="00746C59">
        <w:rPr>
          <w:rFonts w:eastAsia="Times"/>
          <w:lang w:val="en-US"/>
        </w:rPr>
        <w:t xml:space="preserve">CLI mitigation </w:t>
      </w:r>
      <w:r w:rsidR="00552C39" w:rsidRPr="00746C59">
        <w:rPr>
          <w:rFonts w:eastAsia="Times"/>
          <w:lang w:val="en-US"/>
        </w:rPr>
        <w:t>have</w:t>
      </w:r>
      <w:r w:rsidR="00D0331B" w:rsidRPr="00746C59">
        <w:rPr>
          <w:rFonts w:eastAsia="Times"/>
          <w:lang w:val="en-US"/>
        </w:rPr>
        <w:t xml:space="preserve"> been captured as below:</w:t>
      </w:r>
    </w:p>
    <w:p w14:paraId="1AAFABDF" w14:textId="77777777" w:rsidR="00602D4C" w:rsidRPr="00746C59" w:rsidRDefault="00602D4C" w:rsidP="00D0331B">
      <w:pPr>
        <w:rPr>
          <w:rFonts w:eastAsia="Times"/>
          <w:lang w:val="en-US"/>
        </w:rPr>
      </w:pPr>
    </w:p>
    <w:p w14:paraId="72FA7BD3" w14:textId="77777777" w:rsidR="00CC4110" w:rsidRPr="00746C59" w:rsidRDefault="00CC4110" w:rsidP="00CC4110">
      <w:pPr>
        <w:numPr>
          <w:ilvl w:val="0"/>
          <w:numId w:val="55"/>
        </w:numPr>
        <w:spacing w:after="160" w:line="256" w:lineRule="auto"/>
        <w:ind w:right="-99"/>
        <w:rPr>
          <w:rFonts w:eastAsia="Malgun Gothic"/>
          <w:i/>
          <w:iCs/>
          <w:lang w:val="en-US" w:eastAsia="ko-KR"/>
        </w:rPr>
      </w:pPr>
      <w:r w:rsidRPr="00746C59">
        <w:rPr>
          <w:rFonts w:eastAsia="Malgun Gothic"/>
          <w:i/>
          <w:iCs/>
          <w:lang w:val="en-US" w:eastAsia="ko-KR"/>
        </w:rPr>
        <w:t>Specify enhancements for CLI handling [RAN1, RAN2, RAN3]:</w:t>
      </w:r>
    </w:p>
    <w:p w14:paraId="0E6D5281" w14:textId="77777777" w:rsidR="00CC4110" w:rsidRPr="00746C59" w:rsidRDefault="00CC4110" w:rsidP="00CC4110">
      <w:pPr>
        <w:numPr>
          <w:ilvl w:val="1"/>
          <w:numId w:val="55"/>
        </w:numPr>
        <w:spacing w:after="160" w:line="256" w:lineRule="auto"/>
        <w:ind w:right="-99"/>
        <w:rPr>
          <w:rFonts w:eastAsia="Malgun Gothic"/>
          <w:i/>
          <w:iCs/>
          <w:lang w:val="en-US" w:eastAsia="ko-KR"/>
        </w:rPr>
      </w:pPr>
      <w:r w:rsidRPr="00746C59">
        <w:rPr>
          <w:rFonts w:eastAsia="Malgun Gothic"/>
          <w:i/>
          <w:iCs/>
          <w:lang w:val="en-US" w:eastAsia="ko-KR"/>
        </w:rPr>
        <w:t>Support gNB-to-gNB co-channel CLI handling scheme(s) (the detailed schemes are to be down-selected from those in TR38.858 by RAN1#117)</w:t>
      </w:r>
    </w:p>
    <w:p w14:paraId="1302D44A" w14:textId="77777777" w:rsidR="00CC4110" w:rsidRPr="00746C59" w:rsidRDefault="00CC4110" w:rsidP="00CC4110">
      <w:pPr>
        <w:numPr>
          <w:ilvl w:val="1"/>
          <w:numId w:val="55"/>
        </w:numPr>
        <w:spacing w:after="160" w:line="256" w:lineRule="auto"/>
        <w:ind w:right="-99"/>
        <w:rPr>
          <w:rFonts w:eastAsia="Malgun Gothic"/>
          <w:i/>
          <w:iCs/>
          <w:lang w:val="en-US" w:eastAsia="ko-KR"/>
        </w:rPr>
      </w:pPr>
      <w:r w:rsidRPr="00746C59">
        <w:rPr>
          <w:rFonts w:eastAsia="Malgun Gothic"/>
          <w:i/>
          <w:iCs/>
          <w:lang w:val="en-US" w:eastAsia="ko-KR"/>
        </w:rPr>
        <w:t xml:space="preserve">Support UE-to-UE co-channel CLI handling scheme(s) (the detailed schemes are to be down-selected from those in TR38.858 by RAN1#117) </w:t>
      </w:r>
    </w:p>
    <w:p w14:paraId="3EE4AC28" w14:textId="02DB6BB1" w:rsidR="00111B8D" w:rsidRPr="00746C59" w:rsidRDefault="00CC4110" w:rsidP="001457BB">
      <w:pPr>
        <w:numPr>
          <w:ilvl w:val="1"/>
          <w:numId w:val="55"/>
        </w:numPr>
        <w:spacing w:after="160" w:line="256" w:lineRule="auto"/>
        <w:ind w:right="-99"/>
        <w:rPr>
          <w:rFonts w:eastAsia="Malgun Gothic"/>
          <w:i/>
          <w:iCs/>
          <w:lang w:val="en-US" w:eastAsia="ko-KR"/>
        </w:rPr>
      </w:pPr>
      <w:r w:rsidRPr="00746C59">
        <w:rPr>
          <w:rFonts w:eastAsia="Malgun Gothic"/>
          <w:i/>
          <w:iCs/>
          <w:lang w:val="en-US" w:eastAsia="ko-KR"/>
        </w:rPr>
        <w:t xml:space="preserve">Note: Without dedicated optimization for dynamic/flexible TDD. </w:t>
      </w:r>
    </w:p>
    <w:p w14:paraId="548DDD31" w14:textId="3CB0001D" w:rsidR="000620FC" w:rsidRPr="00AD44E7" w:rsidRDefault="00EE036A" w:rsidP="00E05E9E">
      <w:pPr>
        <w:jc w:val="both"/>
        <w:rPr>
          <w:rFonts w:eastAsia="Times"/>
          <w:lang w:val="en-US"/>
        </w:rPr>
      </w:pPr>
      <w:r w:rsidRPr="00746C59">
        <w:rPr>
          <w:rFonts w:eastAsia="Times"/>
          <w:lang w:val="en-US"/>
        </w:rPr>
        <w:t xml:space="preserve">In this </w:t>
      </w:r>
      <w:proofErr w:type="spellStart"/>
      <w:r w:rsidRPr="00746C59">
        <w:rPr>
          <w:rFonts w:eastAsia="Times"/>
          <w:lang w:val="en-US"/>
        </w:rPr>
        <w:t>Tdoc</w:t>
      </w:r>
      <w:proofErr w:type="spellEnd"/>
      <w:r w:rsidRPr="00746C59">
        <w:rPr>
          <w:rFonts w:eastAsia="Times"/>
          <w:lang w:val="en-US"/>
        </w:rPr>
        <w:t xml:space="preserve">, we </w:t>
      </w:r>
      <w:r w:rsidR="00602D4C" w:rsidRPr="00746C59">
        <w:rPr>
          <w:rFonts w:eastAsia="Times"/>
          <w:lang w:val="en-US"/>
        </w:rPr>
        <w:t xml:space="preserve">share our views and </w:t>
      </w:r>
      <w:r w:rsidR="005A3B77" w:rsidRPr="00746C59">
        <w:rPr>
          <w:rFonts w:eastAsia="Times"/>
          <w:lang w:val="en-US"/>
        </w:rPr>
        <w:t xml:space="preserve">propose techniques to specify the </w:t>
      </w:r>
      <w:r w:rsidR="00D0331B" w:rsidRPr="00746C59">
        <w:rPr>
          <w:rFonts w:eastAsia="Times"/>
          <w:lang w:val="en-US"/>
        </w:rPr>
        <w:t>above</w:t>
      </w:r>
      <w:r w:rsidR="005A3B77" w:rsidRPr="00746C59">
        <w:rPr>
          <w:rFonts w:eastAsia="Times"/>
          <w:lang w:val="en-US"/>
        </w:rPr>
        <w:t xml:space="preserve"> enhancement</w:t>
      </w:r>
      <w:r w:rsidR="00D82F03" w:rsidRPr="00746C59">
        <w:rPr>
          <w:rFonts w:eastAsia="Times"/>
          <w:lang w:val="en-US"/>
        </w:rPr>
        <w:t>s</w:t>
      </w:r>
      <w:r w:rsidR="005A3B77" w:rsidRPr="00746C59">
        <w:rPr>
          <w:rFonts w:eastAsia="Times"/>
          <w:lang w:val="en-US"/>
        </w:rPr>
        <w:t>.</w:t>
      </w:r>
      <w:r w:rsidR="005A3B77" w:rsidRPr="00AD44E7">
        <w:rPr>
          <w:rFonts w:eastAsia="Times"/>
          <w:lang w:val="en-US"/>
        </w:rPr>
        <w:t xml:space="preserve"> </w:t>
      </w:r>
    </w:p>
    <w:p w14:paraId="5956B37F" w14:textId="77777777" w:rsidR="00A25A31" w:rsidRPr="00AD44E7" w:rsidRDefault="00A25A31" w:rsidP="00E05E9E">
      <w:pPr>
        <w:jc w:val="both"/>
        <w:rPr>
          <w:rFonts w:eastAsia="Times"/>
          <w:lang w:val="en-US"/>
        </w:rPr>
      </w:pPr>
    </w:p>
    <w:p w14:paraId="114275C1" w14:textId="7D9D2152" w:rsidR="002C31F2" w:rsidRDefault="002C31F2" w:rsidP="002C31F2">
      <w:pPr>
        <w:pStyle w:val="Heading1"/>
        <w:jc w:val="both"/>
        <w:rPr>
          <w:rFonts w:eastAsia="Malgun Gothic"/>
          <w:lang w:val="en-US" w:eastAsia="ko-KR"/>
        </w:rPr>
      </w:pPr>
      <w:r w:rsidRPr="00AD44E7">
        <w:rPr>
          <w:rFonts w:eastAsia="Malgun Gothic"/>
          <w:lang w:val="en-US" w:eastAsia="ko-KR"/>
        </w:rPr>
        <w:lastRenderedPageBreak/>
        <w:t>gNB-to-gNB co-channel CLI handling</w:t>
      </w:r>
    </w:p>
    <w:p w14:paraId="26F58DEE" w14:textId="77777777" w:rsidR="002C31F2" w:rsidRPr="002C31F2" w:rsidRDefault="002C31F2" w:rsidP="002C31F2">
      <w:pPr>
        <w:rPr>
          <w:lang w:val="en-US" w:eastAsia="ko-KR"/>
        </w:rPr>
      </w:pPr>
    </w:p>
    <w:p w14:paraId="16E6B096" w14:textId="134F34B1" w:rsidR="0027190E" w:rsidRDefault="0027190E" w:rsidP="0027190E">
      <w:pPr>
        <w:rPr>
          <w:rFonts w:eastAsiaTheme="minorEastAsia"/>
          <w:lang w:val="en-GB" w:eastAsia="zh-CN"/>
        </w:rPr>
      </w:pPr>
      <w:r w:rsidRPr="00AD44E7">
        <w:rPr>
          <w:rFonts w:eastAsiaTheme="minorEastAsia"/>
          <w:lang w:val="en-GB" w:eastAsia="zh-CN"/>
        </w:rPr>
        <w:t>In RAN1#11</w:t>
      </w:r>
      <w:r>
        <w:rPr>
          <w:rFonts w:eastAsiaTheme="minorEastAsia"/>
          <w:lang w:val="en-GB" w:eastAsia="zh-CN"/>
        </w:rPr>
        <w:t>7</w:t>
      </w:r>
      <w:r w:rsidRPr="00AD44E7">
        <w:rPr>
          <w:rFonts w:eastAsiaTheme="minorEastAsia"/>
          <w:lang w:val="en-GB" w:eastAsia="zh-CN"/>
        </w:rPr>
        <w:t>, the following agreement</w:t>
      </w:r>
      <w:r w:rsidR="0010254B">
        <w:rPr>
          <w:rFonts w:eastAsiaTheme="minorEastAsia"/>
          <w:lang w:val="en-GB" w:eastAsia="zh-CN"/>
        </w:rPr>
        <w:t>s</w:t>
      </w:r>
      <w:r w:rsidRPr="00AD44E7">
        <w:rPr>
          <w:rFonts w:eastAsiaTheme="minorEastAsia"/>
          <w:lang w:val="en-GB" w:eastAsia="zh-CN"/>
        </w:rPr>
        <w:t xml:space="preserve"> for the gNB-to-gNB co-channel CLI handling schemes </w:t>
      </w:r>
      <w:r w:rsidR="0010254B">
        <w:rPr>
          <w:rFonts w:eastAsiaTheme="minorEastAsia"/>
          <w:lang w:val="en-GB" w:eastAsia="zh-CN"/>
        </w:rPr>
        <w:t>have</w:t>
      </w:r>
      <w:r w:rsidRPr="00AD44E7">
        <w:rPr>
          <w:rFonts w:eastAsiaTheme="minorEastAsia"/>
          <w:lang w:val="en-GB" w:eastAsia="zh-CN"/>
        </w:rPr>
        <w:t xml:space="preserve"> been reached:</w:t>
      </w:r>
    </w:p>
    <w:p w14:paraId="77110F37" w14:textId="77777777" w:rsidR="00AD3D6A" w:rsidRDefault="00AD3D6A" w:rsidP="0027190E">
      <w:pPr>
        <w:rPr>
          <w:rFonts w:eastAsiaTheme="minorEastAsia"/>
          <w:lang w:val="en-GB" w:eastAsia="zh-CN"/>
        </w:rPr>
      </w:pPr>
    </w:p>
    <w:p w14:paraId="753AC254" w14:textId="77777777" w:rsidR="001A45ED" w:rsidRDefault="001A45ED" w:rsidP="0027190E">
      <w:pPr>
        <w:rPr>
          <w:rFonts w:eastAsiaTheme="minorEastAsia"/>
          <w:lang w:val="en-GB" w:eastAsia="zh-CN"/>
        </w:rPr>
      </w:pPr>
    </w:p>
    <w:p w14:paraId="1B0D313D" w14:textId="77777777" w:rsidR="001A45ED" w:rsidRPr="00DE6D53" w:rsidRDefault="001A45ED" w:rsidP="001A45ED">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426B139" w14:textId="77777777" w:rsidR="001A45ED" w:rsidRPr="001A45ED" w:rsidRDefault="001A45ED" w:rsidP="001A45ED">
      <w:pPr>
        <w:rPr>
          <w:rFonts w:eastAsia="SimSun"/>
          <w:szCs w:val="20"/>
        </w:rPr>
      </w:pPr>
      <w:r w:rsidRPr="001A45ED">
        <w:rPr>
          <w:rFonts w:eastAsia="SimSun"/>
          <w:szCs w:val="20"/>
        </w:rPr>
        <w:t>Update the agreement in RAN1#116bis (changes mark in red) as follows</w:t>
      </w:r>
    </w:p>
    <w:p w14:paraId="3B69BD29" w14:textId="77777777" w:rsidR="001A45ED" w:rsidRPr="001A45ED" w:rsidRDefault="001A45ED" w:rsidP="001A45ED">
      <w:pPr>
        <w:rPr>
          <w:rFonts w:eastAsia="SimSun"/>
          <w:szCs w:val="20"/>
        </w:rPr>
      </w:pPr>
      <w:r w:rsidRPr="001A45ED">
        <w:rPr>
          <w:rFonts w:eastAsia="SimSun"/>
          <w:szCs w:val="20"/>
        </w:rPr>
        <w:t>If beam nulling is supported for gNB-to-gNB CLI handling, the following are recommended to be specified</w:t>
      </w:r>
    </w:p>
    <w:p w14:paraId="628AA57C" w14:textId="77777777" w:rsidR="001A45ED" w:rsidRPr="001A45ED" w:rsidRDefault="001A45ED" w:rsidP="001A45ED">
      <w:pPr>
        <w:numPr>
          <w:ilvl w:val="0"/>
          <w:numId w:val="94"/>
        </w:numPr>
        <w:suppressAutoHyphens/>
        <w:snapToGrid w:val="0"/>
        <w:ind w:left="714" w:hanging="357"/>
        <w:rPr>
          <w:rFonts w:eastAsia="SimSun"/>
          <w:szCs w:val="20"/>
        </w:rPr>
      </w:pPr>
      <w:r w:rsidRPr="001A45ED">
        <w:rPr>
          <w:rFonts w:eastAsia="SimSun"/>
          <w:szCs w:val="20"/>
        </w:rPr>
        <w:t>Information exchange of measurement resource configuration, i.e., periodic NZP CSI-RS</w:t>
      </w:r>
    </w:p>
    <w:p w14:paraId="7BFB6CD8" w14:textId="77777777" w:rsidR="001A45ED" w:rsidRPr="001A45ED" w:rsidRDefault="001A45ED" w:rsidP="001A45ED">
      <w:pPr>
        <w:numPr>
          <w:ilvl w:val="0"/>
          <w:numId w:val="94"/>
        </w:numPr>
        <w:suppressAutoHyphens/>
        <w:snapToGrid w:val="0"/>
        <w:ind w:left="714" w:hanging="357"/>
        <w:rPr>
          <w:rFonts w:eastAsia="SimSun"/>
          <w:szCs w:val="20"/>
        </w:rPr>
      </w:pPr>
      <w:r w:rsidRPr="001A45ED">
        <w:rPr>
          <w:rFonts w:eastAsia="SimSun"/>
          <w:szCs w:val="20"/>
        </w:rPr>
        <w:t xml:space="preserve">Information exchange of </w:t>
      </w:r>
      <w:r w:rsidRPr="001A45ED">
        <w:rPr>
          <w:bCs/>
          <w:szCs w:val="20"/>
          <w:lang w:eastAsia="ko-KR"/>
        </w:rPr>
        <w:t>CLI-mitigation request.</w:t>
      </w:r>
    </w:p>
    <w:p w14:paraId="778BA2C3" w14:textId="77777777" w:rsidR="001A45ED" w:rsidRPr="001A45ED" w:rsidRDefault="001A45ED" w:rsidP="001A45ED">
      <w:pPr>
        <w:numPr>
          <w:ilvl w:val="0"/>
          <w:numId w:val="94"/>
        </w:numPr>
        <w:suppressAutoHyphens/>
        <w:snapToGrid w:val="0"/>
        <w:ind w:left="714" w:hanging="357"/>
        <w:rPr>
          <w:rFonts w:eastAsia="SimSun"/>
          <w:szCs w:val="20"/>
        </w:rPr>
      </w:pPr>
      <w:r w:rsidRPr="001A45ED">
        <w:rPr>
          <w:rFonts w:eastAsia="SimSun"/>
          <w:szCs w:val="20"/>
        </w:rPr>
        <w:t xml:space="preserve">Note: No normative behavior is implied for </w:t>
      </w:r>
      <w:r w:rsidRPr="001A45ED">
        <w:rPr>
          <w:rFonts w:eastAsia="SimSun" w:hint="eastAsia"/>
          <w:szCs w:val="20"/>
        </w:rPr>
        <w:t>the</w:t>
      </w:r>
      <w:r w:rsidRPr="001A45ED">
        <w:rPr>
          <w:rFonts w:eastAsia="SimSun"/>
          <w:szCs w:val="20"/>
        </w:rPr>
        <w:t xml:space="preserve"> gNB receiving the </w:t>
      </w:r>
      <w:r w:rsidRPr="001A45ED">
        <w:rPr>
          <w:bCs/>
          <w:szCs w:val="20"/>
          <w:lang w:eastAsia="ko-KR"/>
        </w:rPr>
        <w:t>CLI-mitigation request</w:t>
      </w:r>
      <w:r w:rsidRPr="001A45ED">
        <w:rPr>
          <w:rFonts w:eastAsia="SimSun"/>
          <w:szCs w:val="20"/>
        </w:rPr>
        <w:t>. No need to further send a stop message for CLI mitigation. Detailed signaling can be discussed in RAN3.</w:t>
      </w:r>
    </w:p>
    <w:p w14:paraId="42EFFC44" w14:textId="77777777" w:rsidR="001A45ED" w:rsidRPr="00DE6D53" w:rsidRDefault="001A45ED" w:rsidP="001A45ED">
      <w:pPr>
        <w:rPr>
          <w:szCs w:val="20"/>
        </w:rPr>
      </w:pPr>
    </w:p>
    <w:p w14:paraId="0BAD8610" w14:textId="77777777" w:rsidR="001A45ED" w:rsidRPr="00DE6D53" w:rsidRDefault="001A45ED" w:rsidP="001A45ED">
      <w:pPr>
        <w:rPr>
          <w:b/>
          <w:bCs/>
          <w:szCs w:val="20"/>
          <w:lang w:eastAsia="ko-KR"/>
        </w:rPr>
      </w:pPr>
      <w:r w:rsidRPr="00DE6D53">
        <w:rPr>
          <w:b/>
          <w:bCs/>
          <w:szCs w:val="20"/>
          <w:highlight w:val="green"/>
          <w:lang w:eastAsia="ko-KR"/>
        </w:rPr>
        <w:t>Agreement</w:t>
      </w:r>
    </w:p>
    <w:p w14:paraId="1AFCC09F" w14:textId="77777777" w:rsidR="001A45ED" w:rsidRPr="000B6617" w:rsidRDefault="001A45ED" w:rsidP="001A45ED">
      <w:pPr>
        <w:rPr>
          <w:bCs/>
          <w:szCs w:val="20"/>
        </w:rPr>
      </w:pPr>
      <w:r w:rsidRPr="000B6617">
        <w:rPr>
          <w:szCs w:val="20"/>
        </w:rPr>
        <w:t xml:space="preserve">If non-transparent UL resource muting is supported for </w:t>
      </w:r>
      <w:r w:rsidRPr="000B6617">
        <w:rPr>
          <w:rFonts w:eastAsia="SimSun"/>
          <w:szCs w:val="20"/>
        </w:rPr>
        <w:t>gNB-to-gNB CLI handling</w:t>
      </w:r>
      <w:r w:rsidRPr="000B6617">
        <w:rPr>
          <w:szCs w:val="20"/>
        </w:rPr>
        <w:t xml:space="preserve">, Option 1 is </w:t>
      </w:r>
      <w:r w:rsidRPr="000B6617">
        <w:rPr>
          <w:rFonts w:eastAsia="SimSun"/>
          <w:szCs w:val="20"/>
        </w:rPr>
        <w:t>recommended to be specified</w:t>
      </w:r>
    </w:p>
    <w:p w14:paraId="6D765F10" w14:textId="77777777" w:rsidR="001A45ED" w:rsidRPr="000B6617" w:rsidRDefault="001A45ED" w:rsidP="001A45ED">
      <w:pPr>
        <w:numPr>
          <w:ilvl w:val="0"/>
          <w:numId w:val="94"/>
        </w:numPr>
        <w:suppressAutoHyphens/>
        <w:snapToGrid w:val="0"/>
        <w:ind w:left="714" w:hanging="357"/>
        <w:rPr>
          <w:bCs/>
          <w:szCs w:val="20"/>
        </w:rPr>
      </w:pPr>
      <w:r w:rsidRPr="000B6617">
        <w:rPr>
          <w:b/>
          <w:szCs w:val="20"/>
        </w:rPr>
        <w:t>Option 1</w:t>
      </w:r>
      <w:r w:rsidRPr="000B6617">
        <w:rPr>
          <w:bCs/>
          <w:szCs w:val="20"/>
        </w:rPr>
        <w:t>: Comb-2 for both DFT-S-OFDM and CP-OFDM</w:t>
      </w:r>
    </w:p>
    <w:p w14:paraId="7129D7B4" w14:textId="77777777" w:rsidR="001A45ED" w:rsidRPr="000B6617" w:rsidRDefault="001A45ED" w:rsidP="001A45ED">
      <w:pPr>
        <w:pStyle w:val="ListParagraph"/>
        <w:widowControl w:val="0"/>
        <w:numPr>
          <w:ilvl w:val="0"/>
          <w:numId w:val="94"/>
        </w:numPr>
        <w:suppressAutoHyphens/>
        <w:adjustRightInd w:val="0"/>
        <w:snapToGrid w:val="0"/>
        <w:spacing w:after="0" w:line="240" w:lineRule="auto"/>
        <w:ind w:left="714" w:hanging="357"/>
        <w:contextualSpacing w:val="0"/>
        <w:jc w:val="both"/>
        <w:rPr>
          <w:rFonts w:ascii="Times New Roman" w:eastAsia="SimSun" w:hAnsi="Times New Roman" w:cs="Times New Roman"/>
          <w:szCs w:val="20"/>
        </w:rPr>
      </w:pPr>
      <w:r w:rsidRPr="000B6617">
        <w:rPr>
          <w:rFonts w:ascii="Times New Roman" w:eastAsia="SimSun" w:hAnsi="Times New Roman" w:cs="Times New Roman"/>
          <w:szCs w:val="20"/>
        </w:rPr>
        <w:t>Note: Additional details can be discussed within RAN1#117.</w:t>
      </w:r>
    </w:p>
    <w:p w14:paraId="6D450DFF" w14:textId="77777777" w:rsidR="001A45ED" w:rsidRPr="000B6617" w:rsidRDefault="001A45ED" w:rsidP="001A45ED">
      <w:pPr>
        <w:pStyle w:val="ListParagraph"/>
        <w:widowControl w:val="0"/>
        <w:numPr>
          <w:ilvl w:val="0"/>
          <w:numId w:val="94"/>
        </w:numPr>
        <w:suppressAutoHyphens/>
        <w:adjustRightInd w:val="0"/>
        <w:snapToGrid w:val="0"/>
        <w:spacing w:after="0" w:line="240" w:lineRule="auto"/>
        <w:ind w:left="714" w:hanging="357"/>
        <w:contextualSpacing w:val="0"/>
        <w:jc w:val="both"/>
        <w:rPr>
          <w:rFonts w:ascii="Times New Roman" w:eastAsia="SimSun" w:hAnsi="Times New Roman" w:cs="Times New Roman"/>
          <w:szCs w:val="20"/>
        </w:rPr>
      </w:pPr>
      <w:r w:rsidRPr="000B6617">
        <w:rPr>
          <w:rFonts w:ascii="Times New Roman" w:hAnsi="Times New Roman" w:cs="Times New Roman"/>
          <w:szCs w:val="20"/>
          <w:lang w:eastAsia="ko-KR"/>
        </w:rPr>
        <w:t>Note: Power boosting is assumed for REs in the symbol with UL resource muting. FFS: Details.</w:t>
      </w:r>
    </w:p>
    <w:p w14:paraId="0D36E85A" w14:textId="77777777" w:rsidR="001A45ED" w:rsidRPr="000B6617" w:rsidRDefault="001A45ED" w:rsidP="001A45ED">
      <w:pPr>
        <w:pStyle w:val="ListParagraph"/>
        <w:widowControl w:val="0"/>
        <w:numPr>
          <w:ilvl w:val="0"/>
          <w:numId w:val="94"/>
        </w:numPr>
        <w:suppressAutoHyphens/>
        <w:snapToGrid w:val="0"/>
        <w:spacing w:after="0" w:line="240" w:lineRule="auto"/>
        <w:contextualSpacing w:val="0"/>
        <w:jc w:val="both"/>
        <w:rPr>
          <w:rFonts w:ascii="Times New Roman" w:eastAsia="SimSun" w:hAnsi="Times New Roman" w:cs="Times New Roman"/>
          <w:szCs w:val="20"/>
        </w:rPr>
      </w:pPr>
      <w:r w:rsidRPr="000B6617">
        <w:rPr>
          <w:rFonts w:ascii="Times New Roman" w:eastAsia="SimSun" w:hAnsi="Times New Roman" w:cs="Times New Roman"/>
          <w:szCs w:val="20"/>
        </w:rPr>
        <w:t>Above is subject to separate UE capability (including separate capabilities for DFT-S-OFDM and CP-OFDM).</w:t>
      </w:r>
    </w:p>
    <w:p w14:paraId="600997B7" w14:textId="77777777" w:rsidR="00AD3D6A" w:rsidRDefault="00AD3D6A" w:rsidP="0027190E">
      <w:pPr>
        <w:rPr>
          <w:rFonts w:eastAsiaTheme="minorEastAsia"/>
          <w:lang w:val="en-GB" w:eastAsia="zh-CN"/>
        </w:rPr>
      </w:pPr>
    </w:p>
    <w:p w14:paraId="5092A18A" w14:textId="77777777" w:rsidR="00393D67" w:rsidRPr="00AD44E7" w:rsidRDefault="00393D67" w:rsidP="00393D67">
      <w:pPr>
        <w:jc w:val="both"/>
        <w:rPr>
          <w:rFonts w:eastAsiaTheme="minorEastAsia"/>
          <w:lang w:val="en-GB" w:eastAsia="zh-CN"/>
        </w:rPr>
      </w:pPr>
    </w:p>
    <w:p w14:paraId="244BFE15" w14:textId="77777777" w:rsidR="00393D67" w:rsidRPr="00AD44E7" w:rsidRDefault="00393D67" w:rsidP="00393D67">
      <w:pPr>
        <w:jc w:val="both"/>
        <w:rPr>
          <w:rFonts w:eastAsiaTheme="minorEastAsia"/>
          <w:lang w:val="en-GB" w:eastAsia="zh-CN"/>
        </w:rPr>
      </w:pPr>
      <w:r w:rsidRPr="00AD44E7">
        <w:rPr>
          <w:rFonts w:eastAsiaTheme="minorEastAsia"/>
          <w:lang w:val="en-GB" w:eastAsia="zh-CN"/>
        </w:rPr>
        <w:t xml:space="preserve">Beam nulling presents a promising technique for mitigating interference. The aggressor </w:t>
      </w:r>
      <w:proofErr w:type="spellStart"/>
      <w:r w:rsidRPr="00AD44E7">
        <w:rPr>
          <w:rFonts w:eastAsiaTheme="minorEastAsia"/>
          <w:lang w:val="en-GB" w:eastAsia="zh-CN"/>
        </w:rPr>
        <w:t>gNB's</w:t>
      </w:r>
      <w:proofErr w:type="spellEnd"/>
      <w:r w:rsidRPr="00AD44E7">
        <w:rPr>
          <w:rFonts w:eastAsiaTheme="minorEastAsia"/>
          <w:lang w:val="en-GB" w:eastAsia="zh-CN"/>
        </w:rPr>
        <w:t xml:space="preserve"> beamforming strategy should consider the potential impact on the victim gNB. By introducing nulls in the direction of the victim, the aggressor gNB can minimize interference. However, the trade-off between mitigating interference and sacrificing the aggressor </w:t>
      </w:r>
      <w:proofErr w:type="spellStart"/>
      <w:r w:rsidRPr="00AD44E7">
        <w:rPr>
          <w:rFonts w:eastAsiaTheme="minorEastAsia"/>
          <w:lang w:val="en-GB" w:eastAsia="zh-CN"/>
        </w:rPr>
        <w:t>gNB’s</w:t>
      </w:r>
      <w:proofErr w:type="spellEnd"/>
      <w:r w:rsidRPr="00AD44E7">
        <w:rPr>
          <w:rFonts w:eastAsiaTheme="minorEastAsia"/>
          <w:lang w:val="en-GB" w:eastAsia="zh-CN"/>
        </w:rPr>
        <w:t xml:space="preserve"> DL performance requires careful evaluation. While nulling improves the performance of the UL direction for the cell edge SBFD UEs of the victim gNB, it might degrade the DL direction for the UEs of the aggressor gNB located in the same direction. The severity of this degradation needs to be quantified to determine the net benefit.</w:t>
      </w:r>
    </w:p>
    <w:p w14:paraId="125F2208" w14:textId="77777777" w:rsidR="00393D67" w:rsidRPr="00AD44E7" w:rsidRDefault="00393D67" w:rsidP="00393D67">
      <w:pPr>
        <w:jc w:val="both"/>
        <w:rPr>
          <w:rFonts w:eastAsiaTheme="minorEastAsia"/>
          <w:lang w:val="en-GB" w:eastAsia="zh-CN"/>
        </w:rPr>
      </w:pPr>
    </w:p>
    <w:p w14:paraId="66A93B6F" w14:textId="77777777" w:rsidR="00393D67" w:rsidRPr="00AD44E7" w:rsidRDefault="00393D67" w:rsidP="00393D67">
      <w:pPr>
        <w:jc w:val="both"/>
        <w:rPr>
          <w:rFonts w:eastAsiaTheme="minorEastAsia"/>
          <w:lang w:val="en-GB" w:eastAsia="zh-CN"/>
        </w:rPr>
      </w:pPr>
      <w:r w:rsidRPr="00AD44E7">
        <w:rPr>
          <w:rFonts w:eastAsiaTheme="minorEastAsia"/>
          <w:lang w:val="en-GB" w:eastAsia="zh-CN"/>
        </w:rPr>
        <w:t>A dynamic approach to beam nulling could be implemented, where its activation depends on the specific scenario. For example, at a specific instant, if the number of impacted UEs of the aggressor gNB is significantly higher compared to the protected UEs of the victim gNB, then nulling might not be a good strategy.</w:t>
      </w:r>
    </w:p>
    <w:p w14:paraId="055A09D0" w14:textId="77777777" w:rsidR="00393D67" w:rsidRPr="00AD44E7" w:rsidRDefault="00393D67" w:rsidP="00393D67">
      <w:pPr>
        <w:jc w:val="both"/>
        <w:rPr>
          <w:rFonts w:eastAsiaTheme="minorEastAsia"/>
          <w:lang w:val="en-GB" w:eastAsia="zh-CN"/>
        </w:rPr>
      </w:pPr>
    </w:p>
    <w:p w14:paraId="6A372708" w14:textId="77777777" w:rsidR="00393D67" w:rsidRPr="00AD44E7" w:rsidRDefault="00393D67" w:rsidP="00393D67">
      <w:pPr>
        <w:jc w:val="both"/>
        <w:rPr>
          <w:rFonts w:eastAsiaTheme="minorEastAsia"/>
          <w:lang w:val="en-GB" w:eastAsia="zh-CN"/>
        </w:rPr>
      </w:pPr>
      <w:r w:rsidRPr="00AD44E7">
        <w:rPr>
          <w:rFonts w:eastAsiaTheme="minorEastAsia"/>
          <w:lang w:val="en-GB" w:eastAsia="zh-CN"/>
        </w:rPr>
        <w:t>It was agreed that if beam nulling is supported then exchange of information for measurement resource configuration like periodic NZP CSI-RS is supported.</w:t>
      </w:r>
      <w:r w:rsidRPr="00AD44E7">
        <w:rPr>
          <w:rFonts w:eastAsia="SimSun"/>
          <w:szCs w:val="20"/>
          <w:lang w:val="en-GB"/>
        </w:rPr>
        <w:t xml:space="preserve"> The victim gNB then performs the measurement on the </w:t>
      </w:r>
      <w:r w:rsidRPr="00AD44E7">
        <w:rPr>
          <w:rFonts w:eastAsiaTheme="minorEastAsia"/>
          <w:lang w:val="en-GB" w:eastAsia="zh-CN"/>
        </w:rPr>
        <w:t xml:space="preserve">measurement resource transmitted from the aggressor gNB and feedback the </w:t>
      </w:r>
      <w:r w:rsidRPr="00AD44E7">
        <w:rPr>
          <w:rFonts w:eastAsiaTheme="minorEastAsia"/>
          <w:lang w:val="en-GB" w:eastAsia="zh-CN"/>
        </w:rPr>
        <w:lastRenderedPageBreak/>
        <w:t xml:space="preserve">channel information to the aggressor gNB. </w:t>
      </w:r>
      <w:r>
        <w:rPr>
          <w:rFonts w:eastAsiaTheme="minorEastAsia"/>
          <w:lang w:val="en-GB" w:eastAsia="zh-CN"/>
        </w:rPr>
        <w:t>NCD-SSB can also be used for gNB-to-gNB CLI measurements.</w:t>
      </w:r>
    </w:p>
    <w:p w14:paraId="4131C65A" w14:textId="77777777" w:rsidR="00393D67" w:rsidRPr="00AD44E7" w:rsidRDefault="00393D67" w:rsidP="00393D67">
      <w:pPr>
        <w:jc w:val="both"/>
        <w:rPr>
          <w:rFonts w:eastAsiaTheme="minorEastAsia"/>
          <w:lang w:val="en-GB" w:eastAsia="zh-CN"/>
        </w:rPr>
      </w:pPr>
    </w:p>
    <w:p w14:paraId="2D9347E8" w14:textId="77777777" w:rsidR="00393D67" w:rsidRPr="00AD44E7" w:rsidRDefault="00393D67" w:rsidP="00393D67">
      <w:pPr>
        <w:jc w:val="both"/>
        <w:rPr>
          <w:rFonts w:eastAsiaTheme="minorEastAsia"/>
          <w:lang w:val="en-GB" w:eastAsia="zh-CN"/>
        </w:rPr>
      </w:pPr>
      <w:r w:rsidRPr="00AD44E7">
        <w:rPr>
          <w:rFonts w:eastAsiaTheme="minorEastAsia"/>
          <w:lang w:val="en-GB" w:eastAsia="zh-CN"/>
        </w:rPr>
        <w:t xml:space="preserve">Beam pairing is also a promising technique for mitigating interference. Beam pairing with good isolation allows for better coordination of beams. This requires aggressor and victim </w:t>
      </w:r>
      <w:proofErr w:type="spellStart"/>
      <w:r w:rsidRPr="00AD44E7">
        <w:rPr>
          <w:rFonts w:eastAsiaTheme="minorEastAsia"/>
          <w:lang w:val="en-GB" w:eastAsia="zh-CN"/>
        </w:rPr>
        <w:t>gNBs</w:t>
      </w:r>
      <w:proofErr w:type="spellEnd"/>
      <w:r w:rsidRPr="00AD44E7">
        <w:rPr>
          <w:rFonts w:eastAsiaTheme="minorEastAsia"/>
          <w:lang w:val="en-GB" w:eastAsia="zh-CN"/>
        </w:rPr>
        <w:t xml:space="preserve"> to exchange information about their beams, the associated interference levels, and the measurement resource configurations.</w:t>
      </w:r>
    </w:p>
    <w:p w14:paraId="063A67A0" w14:textId="77777777" w:rsidR="00393D67" w:rsidRPr="00AD44E7" w:rsidRDefault="00393D67" w:rsidP="00393D67">
      <w:pPr>
        <w:jc w:val="both"/>
        <w:rPr>
          <w:rFonts w:eastAsiaTheme="minorEastAsia"/>
          <w:lang w:val="en-GB" w:eastAsia="zh-CN"/>
        </w:rPr>
      </w:pPr>
    </w:p>
    <w:p w14:paraId="09A61E86" w14:textId="77777777" w:rsidR="00393D67" w:rsidRPr="00AD44E7" w:rsidRDefault="00393D67" w:rsidP="00393D67">
      <w:pPr>
        <w:rPr>
          <w:rFonts w:eastAsia="SimSun"/>
          <w:szCs w:val="20"/>
          <w:lang w:val="en-GB"/>
        </w:rPr>
      </w:pPr>
      <w:r w:rsidRPr="00AD44E7">
        <w:rPr>
          <w:rFonts w:eastAsiaTheme="minorEastAsia"/>
          <w:lang w:val="en-GB" w:eastAsia="zh-CN"/>
        </w:rPr>
        <w:t>It was agreed that if beam pairing is supported</w:t>
      </w:r>
      <w:r w:rsidRPr="00AD44E7">
        <w:rPr>
          <w:rFonts w:eastAsia="SimSun"/>
          <w:szCs w:val="20"/>
        </w:rPr>
        <w:t xml:space="preserve"> for gNB-to-gNB CLI handling</w:t>
      </w:r>
      <w:r w:rsidRPr="00AD44E7">
        <w:rPr>
          <w:rFonts w:eastAsia="SimSun"/>
          <w:szCs w:val="20"/>
          <w:lang w:val="en-GB"/>
        </w:rPr>
        <w:t>,</w:t>
      </w:r>
      <w:r w:rsidRPr="00AD44E7">
        <w:rPr>
          <w:rFonts w:eastAsiaTheme="minorEastAsia"/>
          <w:lang w:val="en-GB" w:eastAsia="zh-CN"/>
        </w:rPr>
        <w:t xml:space="preserve"> then exchange of information for measurement resource configuration like periodic SSB and NZP CSI-RS is supported.</w:t>
      </w:r>
      <w:r w:rsidRPr="00AD44E7">
        <w:rPr>
          <w:rFonts w:eastAsia="SimSun"/>
          <w:szCs w:val="20"/>
          <w:lang w:val="en-GB"/>
        </w:rPr>
        <w:t xml:space="preserve"> Also, information exchange of </w:t>
      </w:r>
      <w:r w:rsidRPr="00AD44E7">
        <w:rPr>
          <w:szCs w:val="20"/>
        </w:rPr>
        <w:t>recommended/not-recommended DL beam information and associated resource configuration</w:t>
      </w:r>
      <w:r w:rsidRPr="00AD44E7">
        <w:rPr>
          <w:szCs w:val="20"/>
          <w:lang w:val="en-GB"/>
        </w:rPr>
        <w:t xml:space="preserve"> is supported.</w:t>
      </w:r>
    </w:p>
    <w:p w14:paraId="44EDB367" w14:textId="77777777" w:rsidR="00393D67" w:rsidRPr="00AD44E7" w:rsidRDefault="00393D67" w:rsidP="00393D67">
      <w:pPr>
        <w:jc w:val="both"/>
        <w:rPr>
          <w:rFonts w:eastAsiaTheme="minorEastAsia"/>
          <w:lang w:val="en-GB" w:eastAsia="zh-CN"/>
        </w:rPr>
      </w:pPr>
    </w:p>
    <w:p w14:paraId="6E083D26" w14:textId="77777777" w:rsidR="00393D67" w:rsidRPr="00AD44E7" w:rsidRDefault="00393D67" w:rsidP="00393D67">
      <w:pPr>
        <w:jc w:val="both"/>
        <w:rPr>
          <w:rFonts w:eastAsiaTheme="minorEastAsia"/>
          <w:lang w:val="en-GB" w:eastAsia="zh-CN"/>
        </w:rPr>
      </w:pPr>
    </w:p>
    <w:p w14:paraId="4D1EC6A0" w14:textId="77777777" w:rsidR="00393D67" w:rsidRPr="00AD44E7" w:rsidRDefault="00393D67" w:rsidP="00393D67">
      <w:pPr>
        <w:jc w:val="both"/>
        <w:rPr>
          <w:rFonts w:eastAsiaTheme="minorEastAsia"/>
          <w:lang w:val="en-GB" w:eastAsia="zh-CN"/>
        </w:rPr>
      </w:pPr>
      <w:r w:rsidRPr="00AD44E7">
        <w:rPr>
          <w:rFonts w:eastAsiaTheme="minorEastAsia"/>
          <w:lang w:val="en-GB" w:eastAsia="zh-CN"/>
        </w:rPr>
        <w:t>Beam nulling can be supported for FR1 and beam pairing can be supported in FR2. However, the signalling overhead and the information exchange between the victim gNB and the aggressor gNB should be discussed and explored and the performance impact of a non-ideal back-haul should also be investigated for both beam pairing and beam nulling.</w:t>
      </w:r>
    </w:p>
    <w:p w14:paraId="706F590D" w14:textId="77777777" w:rsidR="00393D67" w:rsidRPr="00AD44E7" w:rsidRDefault="00393D67" w:rsidP="00393D67">
      <w:pPr>
        <w:jc w:val="both"/>
        <w:rPr>
          <w:szCs w:val="20"/>
          <w:lang w:val="en-GB"/>
        </w:rPr>
      </w:pPr>
    </w:p>
    <w:p w14:paraId="7AB84560" w14:textId="77777777" w:rsidR="00393D67" w:rsidRPr="00AD44E7" w:rsidRDefault="00393D67" w:rsidP="00393D67">
      <w:pPr>
        <w:jc w:val="both"/>
        <w:rPr>
          <w:szCs w:val="20"/>
          <w:lang w:val="en-GB"/>
        </w:rPr>
      </w:pPr>
    </w:p>
    <w:p w14:paraId="0A4A653F" w14:textId="77777777" w:rsidR="00393D67" w:rsidRPr="00AD44E7" w:rsidRDefault="00393D67" w:rsidP="00393D67">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Beam pairing and beam nulling are both supported and specified in Rel-19: Beam nulling for FR1 and beam pairing for FR2.</w:t>
      </w:r>
    </w:p>
    <w:p w14:paraId="631ACE9E" w14:textId="77777777" w:rsidR="00393D67" w:rsidRPr="00AD44E7" w:rsidRDefault="00393D67" w:rsidP="00393D67">
      <w:pPr>
        <w:jc w:val="both"/>
        <w:rPr>
          <w:rFonts w:eastAsiaTheme="minorEastAsia"/>
          <w:lang w:val="en-GB" w:eastAsia="zh-CN"/>
        </w:rPr>
      </w:pPr>
    </w:p>
    <w:p w14:paraId="16756E19" w14:textId="77777777" w:rsidR="00393D67" w:rsidRPr="00AD44E7" w:rsidRDefault="00393D67" w:rsidP="00393D67">
      <w:pPr>
        <w:widowControl w:val="0"/>
        <w:suppressAutoHyphens/>
        <w:adjustRightInd w:val="0"/>
        <w:snapToGrid w:val="0"/>
        <w:spacing w:afterLines="50" w:after="120"/>
        <w:jc w:val="both"/>
        <w:rPr>
          <w:rFonts w:eastAsiaTheme="minorEastAsia"/>
          <w:lang w:val="en-GB" w:eastAsia="zh-CN"/>
        </w:rPr>
      </w:pPr>
      <w:r w:rsidRPr="00AD44E7">
        <w:rPr>
          <w:rFonts w:eastAsiaTheme="minorEastAsia"/>
          <w:lang w:val="en-GB" w:eastAsia="zh-CN"/>
        </w:rPr>
        <w:t xml:space="preserve">For both beam pairing and beam nulling, information exchange of CLI-mitigation request via </w:t>
      </w:r>
      <w:proofErr w:type="gramStart"/>
      <w:r w:rsidRPr="00AD44E7">
        <w:rPr>
          <w:rFonts w:eastAsiaTheme="minorEastAsia"/>
          <w:lang w:val="en-GB" w:eastAsia="zh-CN"/>
        </w:rPr>
        <w:t>backhaul</w:t>
      </w:r>
      <w:proofErr w:type="gramEnd"/>
      <w:r w:rsidRPr="00AD44E7">
        <w:rPr>
          <w:rFonts w:eastAsiaTheme="minorEastAsia"/>
          <w:lang w:val="en-GB" w:eastAsia="zh-CN"/>
        </w:rPr>
        <w:t xml:space="preserve"> between the aggressor gNB and the victim gNB can be specified. Once the victim gNB detects an impact to its UL performance, it can trigger the aggressor gNB via a CLI mitigation request to start a CLI mitigation procedure (e.g., beam nulling). The aggressor gNB starts the CLI mitigation procedure as requested by the victim gNB. A CLI mitigation report can also be exchanged between the aggressor gNB and the victim gNB.</w:t>
      </w:r>
    </w:p>
    <w:p w14:paraId="320D81BC" w14:textId="77777777" w:rsidR="00393D67" w:rsidRPr="00AD44E7" w:rsidRDefault="00393D67" w:rsidP="00393D67">
      <w:pPr>
        <w:jc w:val="both"/>
        <w:rPr>
          <w:szCs w:val="20"/>
          <w:lang w:val="en-GB"/>
        </w:rPr>
      </w:pPr>
    </w:p>
    <w:p w14:paraId="00264287" w14:textId="77777777" w:rsidR="00393D67" w:rsidRPr="00AD44E7" w:rsidRDefault="00393D67" w:rsidP="00393D67">
      <w:pPr>
        <w:jc w:val="both"/>
        <w:rPr>
          <w:rFonts w:eastAsia="SimSun"/>
          <w:szCs w:val="20"/>
          <w:lang w:val="en-GB"/>
        </w:rPr>
      </w:pPr>
      <w:r w:rsidRPr="00AD44E7">
        <w:rPr>
          <w:rFonts w:eastAsiaTheme="minorEastAsia"/>
          <w:lang w:val="en-GB" w:eastAsia="zh-CN"/>
        </w:rPr>
        <w:t>Periodic transmission/measurement of NZP CSI-RS can be adopted for beam nulling.</w:t>
      </w:r>
    </w:p>
    <w:p w14:paraId="56D2E06D" w14:textId="77777777" w:rsidR="00393D67" w:rsidRPr="00AD44E7" w:rsidRDefault="00393D67" w:rsidP="00393D67">
      <w:pPr>
        <w:jc w:val="both"/>
        <w:rPr>
          <w:rFonts w:eastAsiaTheme="minorEastAsia"/>
          <w:lang w:val="en-GB" w:eastAsia="zh-CN"/>
        </w:rPr>
      </w:pPr>
    </w:p>
    <w:p w14:paraId="72F895F4" w14:textId="77777777" w:rsidR="00393D67" w:rsidRPr="00AD44E7" w:rsidRDefault="00393D67" w:rsidP="00393D67">
      <w:pPr>
        <w:spacing w:after="120"/>
        <w:jc w:val="both"/>
        <w:textAlignment w:val="center"/>
        <w:rPr>
          <w:lang w:val="en-GB"/>
        </w:rPr>
      </w:pPr>
      <w:r w:rsidRPr="00AD44E7">
        <w:rPr>
          <w:lang w:val="en-GB"/>
        </w:rPr>
        <w:t xml:space="preserve">CSI configuration should also be coordinated between different </w:t>
      </w:r>
      <w:proofErr w:type="spellStart"/>
      <w:r w:rsidRPr="00AD44E7">
        <w:rPr>
          <w:lang w:val="en-GB"/>
        </w:rPr>
        <w:t>gNBs</w:t>
      </w:r>
      <w:proofErr w:type="spellEnd"/>
      <w:r w:rsidRPr="00AD44E7">
        <w:rPr>
          <w:lang w:val="en-GB"/>
        </w:rPr>
        <w:t xml:space="preserve">. Configuration of CSI-RS on overlapping resources on different </w:t>
      </w:r>
      <w:proofErr w:type="spellStart"/>
      <w:r w:rsidRPr="00AD44E7">
        <w:rPr>
          <w:lang w:val="en-GB"/>
        </w:rPr>
        <w:t>gNBs</w:t>
      </w:r>
      <w:proofErr w:type="spellEnd"/>
      <w:r w:rsidRPr="00AD44E7">
        <w:rPr>
          <w:lang w:val="en-GB"/>
        </w:rPr>
        <w:t xml:space="preserve"> can degrade the CLI estimation performance at the victim gNB.</w:t>
      </w:r>
    </w:p>
    <w:p w14:paraId="459DB07F" w14:textId="77777777" w:rsidR="00393D67" w:rsidRPr="00AD44E7" w:rsidRDefault="00393D67" w:rsidP="00393D67">
      <w:pPr>
        <w:spacing w:after="120"/>
        <w:jc w:val="both"/>
        <w:textAlignment w:val="center"/>
        <w:rPr>
          <w:lang w:val="en-GB"/>
        </w:rPr>
      </w:pPr>
      <w:r w:rsidRPr="00AD44E7">
        <w:rPr>
          <w:lang w:val="en-GB"/>
        </w:rPr>
        <w:t xml:space="preserve">Also, victim gNB power consumption should be taken into consideration when designing the </w:t>
      </w:r>
      <w:r w:rsidRPr="00AD44E7">
        <w:rPr>
          <w:rFonts w:eastAsiaTheme="minorEastAsia"/>
          <w:lang w:val="en-GB" w:eastAsia="zh-CN"/>
        </w:rPr>
        <w:t xml:space="preserve">gNB-to-gNB co-channel CLI measurement, as </w:t>
      </w:r>
      <w:r w:rsidRPr="00AD44E7">
        <w:rPr>
          <w:lang w:val="en-GB"/>
        </w:rPr>
        <w:t xml:space="preserve">the measurements from multiple aggressors gNB can increase network power consumption substantially. Methods for reducing power consumption should be explored like triggering the measurements only when needed or only during some specific time durations or only for a sub-set of the main aggressors </w:t>
      </w:r>
      <w:proofErr w:type="spellStart"/>
      <w:r w:rsidRPr="00AD44E7">
        <w:rPr>
          <w:lang w:val="en-GB"/>
        </w:rPr>
        <w:t>gNBs</w:t>
      </w:r>
      <w:proofErr w:type="spellEnd"/>
      <w:r w:rsidRPr="00AD44E7">
        <w:rPr>
          <w:lang w:val="en-GB"/>
        </w:rPr>
        <w:t>.</w:t>
      </w:r>
    </w:p>
    <w:p w14:paraId="4D88BF8B" w14:textId="77777777" w:rsidR="00393D67" w:rsidRPr="00AD44E7" w:rsidRDefault="00393D67" w:rsidP="00393D67">
      <w:pPr>
        <w:pStyle w:val="ListParagraph"/>
        <w:ind w:left="360"/>
        <w:rPr>
          <w:rFonts w:ascii="Times New Roman" w:eastAsiaTheme="minorEastAsia" w:hAnsi="Times New Roman" w:cs="Times New Roman"/>
          <w:b/>
          <w:bCs/>
          <w:i/>
          <w:iCs/>
          <w:noProof/>
          <w:lang w:val="en-GB" w:eastAsia="zh-CN"/>
        </w:rPr>
      </w:pPr>
    </w:p>
    <w:p w14:paraId="1229154F" w14:textId="77777777" w:rsidR="00393D67" w:rsidRPr="00AD44E7" w:rsidRDefault="00393D67" w:rsidP="00393D67">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 xml:space="preserve">Coordinate CSI-RS configurations between different gNBs to reduce impact on CLI estimation performance at the victim gNB. </w:t>
      </w:r>
    </w:p>
    <w:p w14:paraId="4D233B0F" w14:textId="77777777" w:rsidR="00393D67" w:rsidRPr="00AD44E7" w:rsidRDefault="00393D67" w:rsidP="00393D67">
      <w:pPr>
        <w:jc w:val="both"/>
        <w:rPr>
          <w:rFonts w:eastAsiaTheme="minorEastAsia"/>
          <w:lang w:val="en-GB" w:eastAsia="zh-CN"/>
        </w:rPr>
      </w:pPr>
    </w:p>
    <w:p w14:paraId="5B9D939A" w14:textId="77777777" w:rsidR="00393D67" w:rsidRPr="00AD44E7" w:rsidRDefault="00393D67" w:rsidP="00393D67">
      <w:pPr>
        <w:jc w:val="both"/>
        <w:rPr>
          <w:rFonts w:eastAsiaTheme="minorEastAsia"/>
          <w:lang w:val="en-GB" w:eastAsia="zh-CN"/>
        </w:rPr>
      </w:pPr>
      <w:r w:rsidRPr="00AD44E7">
        <w:rPr>
          <w:rFonts w:eastAsiaTheme="minorEastAsia"/>
          <w:lang w:val="en-GB" w:eastAsia="zh-CN"/>
        </w:rPr>
        <w:t xml:space="preserve">Non-transparent UL resource muting has also been discussed and the aspects to be specified have been captured in the agreements in RAN1#116bis. </w:t>
      </w:r>
    </w:p>
    <w:p w14:paraId="47345D07" w14:textId="77777777" w:rsidR="00393D67" w:rsidRPr="00AD44E7" w:rsidRDefault="00393D67" w:rsidP="00393D67">
      <w:pPr>
        <w:jc w:val="both"/>
        <w:rPr>
          <w:rFonts w:eastAsiaTheme="minorEastAsia"/>
          <w:lang w:val="en-GB" w:eastAsia="zh-CN"/>
        </w:rPr>
      </w:pPr>
    </w:p>
    <w:p w14:paraId="3EE1A677" w14:textId="77777777" w:rsidR="00393D67" w:rsidRPr="00AD44E7" w:rsidRDefault="00393D67" w:rsidP="00393D67">
      <w:pPr>
        <w:jc w:val="both"/>
        <w:rPr>
          <w:rFonts w:eastAsiaTheme="minorEastAsia"/>
          <w:lang w:val="en-GB" w:eastAsia="zh-CN"/>
        </w:rPr>
      </w:pPr>
      <w:r w:rsidRPr="00AD44E7">
        <w:rPr>
          <w:rFonts w:eastAsiaTheme="minorEastAsia"/>
          <w:lang w:val="en-GB" w:eastAsia="zh-CN"/>
        </w:rPr>
        <w:t xml:space="preserve">We don’t support the non-transparent UL resource muting as it increases the UE implementation complexity and leads to fluctuating UL transmission power across symbols. </w:t>
      </w:r>
    </w:p>
    <w:p w14:paraId="71BC03A9" w14:textId="77777777" w:rsidR="00393D67" w:rsidRPr="00AD44E7" w:rsidRDefault="00393D67" w:rsidP="00393D67">
      <w:pPr>
        <w:jc w:val="both"/>
        <w:rPr>
          <w:szCs w:val="20"/>
          <w:lang w:val="en-GB"/>
        </w:rPr>
      </w:pPr>
    </w:p>
    <w:p w14:paraId="54E561D4" w14:textId="77777777" w:rsidR="00393D67" w:rsidRPr="00AD44E7" w:rsidRDefault="00393D67" w:rsidP="00393D67">
      <w:pPr>
        <w:jc w:val="both"/>
        <w:rPr>
          <w:szCs w:val="20"/>
          <w:lang w:val="en-GB"/>
        </w:rPr>
      </w:pPr>
    </w:p>
    <w:p w14:paraId="7EE6F062" w14:textId="77777777" w:rsidR="00393D67" w:rsidRPr="00AD44E7" w:rsidRDefault="00393D67" w:rsidP="00393D67">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Non-transparent UL resource muting is not supported for gNB-to-gNB co-channel CLI handling in Rel-19 as it increases the UE implementation complexity, the signalling overhead and has high specification impact.</w:t>
      </w:r>
    </w:p>
    <w:p w14:paraId="40D4A570" w14:textId="77777777" w:rsidR="003972FF" w:rsidRPr="00526BE7" w:rsidRDefault="003972FF" w:rsidP="00526BE7">
      <w:pPr>
        <w:rPr>
          <w:rFonts w:eastAsiaTheme="minorEastAsia"/>
          <w:b/>
          <w:bCs/>
          <w:i/>
          <w:iCs/>
          <w:noProof/>
          <w:lang w:val="en-GB" w:eastAsia="zh-CN"/>
        </w:rPr>
      </w:pPr>
    </w:p>
    <w:p w14:paraId="7D57092E" w14:textId="59E99878" w:rsidR="003972FF" w:rsidRPr="00AD44E7" w:rsidRDefault="003972FF" w:rsidP="003972FF">
      <w:pPr>
        <w:pStyle w:val="Heading1"/>
        <w:jc w:val="both"/>
        <w:rPr>
          <w:lang w:eastAsia="zh-TW"/>
        </w:rPr>
      </w:pPr>
      <w:r w:rsidRPr="00AD44E7">
        <w:rPr>
          <w:rFonts w:eastAsia="Malgun Gothic"/>
          <w:lang w:val="en-US" w:eastAsia="ko-KR"/>
        </w:rPr>
        <w:t>UE-to-UE co-channel CLI handling</w:t>
      </w:r>
    </w:p>
    <w:p w14:paraId="18E1AFCC" w14:textId="77777777" w:rsidR="00AD3D6A" w:rsidRDefault="00AD3D6A" w:rsidP="0027190E">
      <w:pPr>
        <w:rPr>
          <w:rFonts w:eastAsiaTheme="minorEastAsia"/>
          <w:lang w:val="en-GB" w:eastAsia="zh-CN"/>
        </w:rPr>
      </w:pPr>
    </w:p>
    <w:p w14:paraId="57B86D0E" w14:textId="77777777" w:rsidR="001907D3" w:rsidRPr="00AD44E7" w:rsidRDefault="001907D3" w:rsidP="001907D3">
      <w:pPr>
        <w:spacing w:afterLines="50" w:after="120"/>
        <w:jc w:val="both"/>
        <w:rPr>
          <w:lang w:val="en-GB"/>
        </w:rPr>
      </w:pPr>
      <w:r w:rsidRPr="00AD44E7">
        <w:rPr>
          <w:lang w:val="en-GB"/>
        </w:rPr>
        <w:t xml:space="preserve">L1 based CLI measurement and reporting have been discussed and they provide benefits for inter-UE CLI handling. They can be optimized for short-term interference measurement and low latency. These schemes can assist gNB in adjusting and optimizing UE scheduling for inter-UE CLI reduction. </w:t>
      </w:r>
    </w:p>
    <w:p w14:paraId="593C8A93" w14:textId="77777777" w:rsidR="001907D3" w:rsidRPr="00AD44E7" w:rsidRDefault="001907D3" w:rsidP="001907D3">
      <w:pPr>
        <w:rPr>
          <w:rFonts w:eastAsiaTheme="minorEastAsia"/>
          <w:lang w:val="en-GB" w:eastAsia="zh-CN"/>
        </w:rPr>
      </w:pPr>
    </w:p>
    <w:p w14:paraId="029D171A" w14:textId="6F3F192E" w:rsidR="001907D3" w:rsidRDefault="001907D3" w:rsidP="001907D3">
      <w:pPr>
        <w:rPr>
          <w:rFonts w:eastAsiaTheme="minorEastAsia"/>
          <w:lang w:val="en-GB" w:eastAsia="zh-CN"/>
        </w:rPr>
      </w:pPr>
      <w:r w:rsidRPr="00AD44E7">
        <w:rPr>
          <w:rFonts w:eastAsiaTheme="minorEastAsia"/>
          <w:lang w:val="en-GB" w:eastAsia="zh-CN"/>
        </w:rPr>
        <w:t>In RAN1#11</w:t>
      </w:r>
      <w:r>
        <w:rPr>
          <w:rFonts w:eastAsiaTheme="minorEastAsia"/>
          <w:lang w:val="en-GB" w:eastAsia="zh-CN"/>
        </w:rPr>
        <w:t>7</w:t>
      </w:r>
      <w:r w:rsidRPr="00AD44E7">
        <w:rPr>
          <w:rFonts w:eastAsiaTheme="minorEastAsia"/>
          <w:lang w:val="en-GB" w:eastAsia="zh-CN"/>
        </w:rPr>
        <w:t>, the following agreement</w:t>
      </w:r>
      <w:r w:rsidR="000A6337">
        <w:rPr>
          <w:rFonts w:eastAsiaTheme="minorEastAsia"/>
          <w:lang w:val="en-GB" w:eastAsia="zh-CN"/>
        </w:rPr>
        <w:t>s</w:t>
      </w:r>
      <w:r w:rsidRPr="00AD44E7">
        <w:rPr>
          <w:rFonts w:eastAsiaTheme="minorEastAsia"/>
          <w:lang w:val="en-GB" w:eastAsia="zh-CN"/>
        </w:rPr>
        <w:t xml:space="preserve"> for the UE-to-UE co-channel CLI handling schemes </w:t>
      </w:r>
      <w:r w:rsidR="000A6337">
        <w:rPr>
          <w:rFonts w:eastAsiaTheme="minorEastAsia"/>
          <w:lang w:val="en-GB" w:eastAsia="zh-CN"/>
        </w:rPr>
        <w:t>have</w:t>
      </w:r>
      <w:r w:rsidRPr="00AD44E7">
        <w:rPr>
          <w:rFonts w:eastAsiaTheme="minorEastAsia"/>
          <w:lang w:val="en-GB" w:eastAsia="zh-CN"/>
        </w:rPr>
        <w:t xml:space="preserve"> been reached:</w:t>
      </w:r>
    </w:p>
    <w:p w14:paraId="3EFE2D05" w14:textId="77777777" w:rsidR="00A17081" w:rsidRDefault="00A17081" w:rsidP="001907D3">
      <w:pPr>
        <w:rPr>
          <w:rFonts w:eastAsiaTheme="minorEastAsia"/>
          <w:lang w:val="en-GB" w:eastAsia="zh-CN"/>
        </w:rPr>
      </w:pPr>
    </w:p>
    <w:p w14:paraId="6DC2E472" w14:textId="77777777" w:rsidR="00A87D0B" w:rsidRDefault="00A87D0B" w:rsidP="00A87D0B">
      <w:pPr>
        <w:rPr>
          <w:lang w:val="en-US"/>
        </w:rPr>
      </w:pPr>
    </w:p>
    <w:p w14:paraId="68C2DC5A" w14:textId="77777777" w:rsidR="00A87D0B" w:rsidRPr="00EB45FA" w:rsidRDefault="00A87D0B" w:rsidP="00A87D0B">
      <w:pPr>
        <w:rPr>
          <w:rFonts w:eastAsiaTheme="minorEastAsia"/>
          <w:b/>
          <w:szCs w:val="20"/>
          <w:lang w:eastAsia="zh-CN"/>
        </w:rPr>
      </w:pPr>
      <w:r w:rsidRPr="00EB45FA">
        <w:rPr>
          <w:rFonts w:eastAsiaTheme="minorEastAsia" w:hint="eastAsia"/>
          <w:b/>
          <w:szCs w:val="20"/>
          <w:highlight w:val="green"/>
          <w:lang w:eastAsia="zh-CN"/>
        </w:rPr>
        <w:t>Agreement</w:t>
      </w:r>
    </w:p>
    <w:p w14:paraId="168C5AF7" w14:textId="77777777" w:rsidR="00A87D0B" w:rsidRPr="007D5CC0" w:rsidRDefault="00A87D0B" w:rsidP="00A87D0B">
      <w:pPr>
        <w:rPr>
          <w:rFonts w:eastAsia="SimSun"/>
        </w:rPr>
      </w:pPr>
      <w:r w:rsidRPr="007D5CC0">
        <w:rPr>
          <w:rFonts w:eastAsia="SimSun"/>
        </w:rPr>
        <w:t>If spatial domain-based schemes are supported for UE-to-UE CLI handling for FR2, the following are recommended to be specified</w:t>
      </w:r>
    </w:p>
    <w:p w14:paraId="218A6949" w14:textId="77777777" w:rsidR="00A87D0B" w:rsidRPr="007D5CC0" w:rsidRDefault="00A87D0B" w:rsidP="00A87D0B">
      <w:pPr>
        <w:pStyle w:val="ListParagraph"/>
        <w:widowControl w:val="0"/>
        <w:numPr>
          <w:ilvl w:val="0"/>
          <w:numId w:val="95"/>
        </w:numPr>
        <w:suppressAutoHyphens/>
        <w:snapToGrid w:val="0"/>
        <w:spacing w:after="0" w:line="240" w:lineRule="auto"/>
        <w:contextualSpacing w:val="0"/>
        <w:jc w:val="both"/>
        <w:rPr>
          <w:rFonts w:ascii="Times New Roman" w:eastAsia="SimSun" w:hAnsi="Times New Roman" w:cs="Times New Roman"/>
        </w:rPr>
      </w:pPr>
      <w:r w:rsidRPr="007D5CC0">
        <w:rPr>
          <w:rFonts w:ascii="Times New Roman" w:eastAsia="SimSun" w:hAnsi="Times New Roman" w:cs="Times New Roman"/>
        </w:rPr>
        <w:t xml:space="preserve">Rx beams configuration for UE-to-UE CLI measurement </w:t>
      </w:r>
    </w:p>
    <w:p w14:paraId="55F5C7CC" w14:textId="77777777" w:rsidR="00A87D0B" w:rsidRPr="007D5CC0" w:rsidRDefault="00A87D0B" w:rsidP="00A87D0B">
      <w:pPr>
        <w:pStyle w:val="ListParagraph"/>
        <w:widowControl w:val="0"/>
        <w:numPr>
          <w:ilvl w:val="0"/>
          <w:numId w:val="95"/>
        </w:numPr>
        <w:suppressAutoHyphens/>
        <w:snapToGrid w:val="0"/>
        <w:spacing w:after="156" w:line="240" w:lineRule="auto"/>
        <w:contextualSpacing w:val="0"/>
        <w:jc w:val="both"/>
        <w:rPr>
          <w:rFonts w:ascii="Times New Roman" w:eastAsia="SimSun" w:hAnsi="Times New Roman" w:cs="Times New Roman"/>
        </w:rPr>
      </w:pPr>
      <w:r w:rsidRPr="007D5CC0">
        <w:rPr>
          <w:rFonts w:ascii="Times New Roman" w:eastAsia="SimSun" w:hAnsi="Times New Roman" w:cs="Times New Roman"/>
        </w:rPr>
        <w:t>Note: The above is subject to a separate optional UE capability.</w:t>
      </w:r>
    </w:p>
    <w:p w14:paraId="50FEB261" w14:textId="77777777" w:rsidR="00A87D0B" w:rsidRPr="00665CD8" w:rsidRDefault="00A87D0B" w:rsidP="00A87D0B"/>
    <w:p w14:paraId="560E01D6" w14:textId="77777777" w:rsidR="00A87D0B" w:rsidRPr="00EB45FA" w:rsidRDefault="00A87D0B" w:rsidP="00A87D0B">
      <w:pPr>
        <w:rPr>
          <w:rFonts w:eastAsiaTheme="minorEastAsia"/>
          <w:b/>
          <w:szCs w:val="20"/>
          <w:lang w:eastAsia="zh-CN"/>
        </w:rPr>
      </w:pPr>
      <w:r w:rsidRPr="00EB45FA">
        <w:rPr>
          <w:rFonts w:eastAsiaTheme="minorEastAsia" w:hint="eastAsia"/>
          <w:b/>
          <w:szCs w:val="20"/>
          <w:highlight w:val="green"/>
          <w:lang w:eastAsia="zh-CN"/>
        </w:rPr>
        <w:t>Agreement</w:t>
      </w:r>
    </w:p>
    <w:p w14:paraId="72695D55" w14:textId="77777777" w:rsidR="00A87D0B" w:rsidRPr="00EA7AAF" w:rsidRDefault="00A87D0B" w:rsidP="00A87D0B">
      <w:pPr>
        <w:spacing w:after="120"/>
        <w:rPr>
          <w:bCs/>
          <w:szCs w:val="20"/>
        </w:rPr>
      </w:pPr>
      <w:r w:rsidRPr="00EA7AAF">
        <w:rPr>
          <w:bCs/>
          <w:szCs w:val="20"/>
        </w:rPr>
        <w:t>Agree the updated Alt.1 (changes in red) for L1 based UE-to-UE co-channel CLI measurement and reporting</w:t>
      </w:r>
    </w:p>
    <w:p w14:paraId="4F2E89FA" w14:textId="77777777" w:rsidR="00A87D0B" w:rsidRPr="00EA7AAF" w:rsidRDefault="00A87D0B" w:rsidP="00A87D0B">
      <w:pPr>
        <w:spacing w:before="93"/>
        <w:rPr>
          <w:rFonts w:eastAsia="SimSun"/>
          <w:b/>
          <w:szCs w:val="20"/>
        </w:rPr>
      </w:pPr>
      <w:r w:rsidRPr="00EA7AAF">
        <w:rPr>
          <w:rFonts w:eastAsia="SimSun"/>
          <w:b/>
          <w:szCs w:val="20"/>
        </w:rPr>
        <w:t>Alt.1:</w:t>
      </w:r>
    </w:p>
    <w:p w14:paraId="47701EA7" w14:textId="77777777" w:rsidR="00A87D0B" w:rsidRPr="00C84ACB" w:rsidRDefault="00A87D0B" w:rsidP="00A87D0B">
      <w:pPr>
        <w:rPr>
          <w:rFonts w:eastAsia="SimSun"/>
          <w:szCs w:val="20"/>
        </w:rPr>
      </w:pPr>
      <w:r w:rsidRPr="00EA7AAF">
        <w:rPr>
          <w:rFonts w:eastAsia="SimSun"/>
          <w:szCs w:val="20"/>
        </w:rPr>
        <w:t xml:space="preserve">If L1 based UE-to-UE CLI measurement and reporting based on existing CSI framework are </w:t>
      </w:r>
      <w:r w:rsidRPr="00C84ACB">
        <w:rPr>
          <w:rFonts w:eastAsia="SimSun"/>
          <w:szCs w:val="20"/>
        </w:rPr>
        <w:t xml:space="preserve">supported for UE-to-UE CLI handling, the following are recommended to be specified </w:t>
      </w:r>
    </w:p>
    <w:p w14:paraId="3354B68C" w14:textId="77777777" w:rsidR="00A87D0B" w:rsidRPr="00C84ACB" w:rsidRDefault="00A87D0B" w:rsidP="00A87D0B">
      <w:pPr>
        <w:numPr>
          <w:ilvl w:val="0"/>
          <w:numId w:val="94"/>
        </w:numPr>
        <w:tabs>
          <w:tab w:val="left" w:pos="0"/>
        </w:tabs>
        <w:suppressAutoHyphens/>
        <w:snapToGrid w:val="0"/>
        <w:rPr>
          <w:rFonts w:eastAsia="SimSun"/>
          <w:szCs w:val="20"/>
        </w:rPr>
      </w:pPr>
      <w:r w:rsidRPr="00C84ACB">
        <w:rPr>
          <w:rFonts w:eastAsia="SimSun"/>
          <w:szCs w:val="20"/>
        </w:rPr>
        <w:t>Measurement resources</w:t>
      </w:r>
    </w:p>
    <w:p w14:paraId="53EBF672" w14:textId="77777777" w:rsidR="00A87D0B" w:rsidRPr="00C84ACB" w:rsidRDefault="00A87D0B" w:rsidP="00A87D0B">
      <w:pPr>
        <w:numPr>
          <w:ilvl w:val="1"/>
          <w:numId w:val="94"/>
        </w:numPr>
        <w:tabs>
          <w:tab w:val="left" w:pos="0"/>
        </w:tabs>
        <w:suppressAutoHyphens/>
        <w:snapToGrid w:val="0"/>
        <w:rPr>
          <w:rFonts w:eastAsia="SimSun"/>
          <w:szCs w:val="20"/>
        </w:rPr>
      </w:pPr>
      <w:r w:rsidRPr="00C84ACB">
        <w:rPr>
          <w:rFonts w:eastAsia="SimSun"/>
          <w:szCs w:val="20"/>
        </w:rPr>
        <w:t>Periodic, semi-persistent, or aperiodic measurement resource (set) i.e., SRS-RSRP resource or CLI-RSSI resource</w:t>
      </w:r>
    </w:p>
    <w:p w14:paraId="1E5A483C" w14:textId="77777777" w:rsidR="00A87D0B" w:rsidRPr="00C84ACB" w:rsidRDefault="00A87D0B" w:rsidP="00A87D0B">
      <w:pPr>
        <w:numPr>
          <w:ilvl w:val="2"/>
          <w:numId w:val="94"/>
        </w:numPr>
        <w:tabs>
          <w:tab w:val="left" w:pos="0"/>
        </w:tabs>
        <w:suppressAutoHyphens/>
        <w:snapToGrid w:val="0"/>
        <w:rPr>
          <w:rFonts w:eastAsia="SimSun"/>
          <w:color w:val="FF0000"/>
          <w:szCs w:val="20"/>
        </w:rPr>
      </w:pPr>
      <w:r w:rsidRPr="00C84ACB">
        <w:rPr>
          <w:rFonts w:eastAsia="SimSun"/>
          <w:color w:val="FF0000"/>
          <w:szCs w:val="20"/>
        </w:rPr>
        <w:t xml:space="preserve">Note: The measurement resources for </w:t>
      </w:r>
      <w:r w:rsidRPr="00C84ACB">
        <w:rPr>
          <w:rFonts w:eastAsia="SimSun"/>
          <w:szCs w:val="20"/>
        </w:rPr>
        <w:t>SRS-RSRP</w:t>
      </w:r>
      <w:r w:rsidRPr="00C84ACB">
        <w:rPr>
          <w:rFonts w:eastAsia="SimSun"/>
          <w:color w:val="FF0000"/>
          <w:szCs w:val="20"/>
        </w:rPr>
        <w:t xml:space="preserve"> are based on the existing legacy RS patterns</w:t>
      </w:r>
    </w:p>
    <w:p w14:paraId="0891F0F4" w14:textId="77777777" w:rsidR="00A87D0B" w:rsidRPr="00C84ACB" w:rsidRDefault="00A87D0B" w:rsidP="00A87D0B">
      <w:pPr>
        <w:pStyle w:val="ListParagraph"/>
        <w:widowControl w:val="0"/>
        <w:numPr>
          <w:ilvl w:val="1"/>
          <w:numId w:val="94"/>
        </w:numPr>
        <w:tabs>
          <w:tab w:val="left" w:pos="0"/>
        </w:tabs>
        <w:suppressAutoHyphens/>
        <w:snapToGrid w:val="0"/>
        <w:spacing w:after="0" w:line="240" w:lineRule="auto"/>
        <w:contextualSpacing w:val="0"/>
        <w:jc w:val="both"/>
        <w:rPr>
          <w:rFonts w:ascii="Times New Roman" w:eastAsia="SimSun" w:hAnsi="Times New Roman" w:cs="Times New Roman"/>
          <w:color w:val="FF0000"/>
          <w:szCs w:val="20"/>
        </w:rPr>
      </w:pPr>
      <w:r w:rsidRPr="00C84ACB">
        <w:rPr>
          <w:rFonts w:ascii="Times New Roman" w:eastAsia="SimSun" w:hAnsi="Times New Roman" w:cs="Times New Roman"/>
          <w:color w:val="FF0000"/>
          <w:szCs w:val="20"/>
        </w:rPr>
        <w:t xml:space="preserve">Rx beams configuration for UE-to-UE CLI measurement (if spatial domain </w:t>
      </w:r>
      <w:r w:rsidRPr="00C84ACB">
        <w:rPr>
          <w:rFonts w:ascii="Times New Roman" w:eastAsia="SimSun" w:hAnsi="Times New Roman" w:cs="Times New Roman"/>
          <w:color w:val="FF0000"/>
          <w:szCs w:val="20"/>
        </w:rPr>
        <w:lastRenderedPageBreak/>
        <w:t>coordination is supported)</w:t>
      </w:r>
    </w:p>
    <w:p w14:paraId="61D57B3C" w14:textId="77777777" w:rsidR="00A87D0B" w:rsidRPr="00C84ACB" w:rsidRDefault="00A87D0B" w:rsidP="00A87D0B">
      <w:pPr>
        <w:numPr>
          <w:ilvl w:val="0"/>
          <w:numId w:val="94"/>
        </w:numPr>
        <w:tabs>
          <w:tab w:val="left" w:pos="0"/>
        </w:tabs>
        <w:suppressAutoHyphens/>
        <w:snapToGrid w:val="0"/>
        <w:rPr>
          <w:rFonts w:eastAsia="SimSun"/>
          <w:szCs w:val="20"/>
        </w:rPr>
      </w:pPr>
      <w:r w:rsidRPr="00C84ACB">
        <w:rPr>
          <w:rFonts w:eastAsia="SimSun"/>
          <w:szCs w:val="20"/>
        </w:rPr>
        <w:t>Measurement reporting</w:t>
      </w:r>
    </w:p>
    <w:p w14:paraId="55E58849" w14:textId="77777777" w:rsidR="00A87D0B" w:rsidRPr="00C84ACB" w:rsidRDefault="00A87D0B" w:rsidP="00A87D0B">
      <w:pPr>
        <w:numPr>
          <w:ilvl w:val="1"/>
          <w:numId w:val="94"/>
        </w:numPr>
        <w:tabs>
          <w:tab w:val="left" w:pos="0"/>
        </w:tabs>
        <w:suppressAutoHyphens/>
        <w:snapToGrid w:val="0"/>
        <w:rPr>
          <w:rFonts w:eastAsia="SimSun"/>
          <w:szCs w:val="20"/>
        </w:rPr>
      </w:pPr>
      <w:r w:rsidRPr="00C84ACB">
        <w:rPr>
          <w:rFonts w:eastAsia="SimSun"/>
          <w:strike/>
          <w:color w:val="FF0000"/>
          <w:szCs w:val="20"/>
        </w:rPr>
        <w:t xml:space="preserve">Periodic, semi-persistent or At least </w:t>
      </w:r>
      <w:r w:rsidRPr="00C84ACB">
        <w:rPr>
          <w:rFonts w:eastAsia="SimSun"/>
          <w:szCs w:val="20"/>
        </w:rPr>
        <w:t xml:space="preserve">Aperiodic reporting </w:t>
      </w:r>
      <w:r w:rsidRPr="00C84ACB">
        <w:rPr>
          <w:rFonts w:eastAsia="SimSun"/>
          <w:strike/>
          <w:color w:val="FF0000"/>
          <w:szCs w:val="20"/>
        </w:rPr>
        <w:t>on PUSCH</w:t>
      </w:r>
      <w:r w:rsidRPr="00C84ACB">
        <w:rPr>
          <w:rFonts w:eastAsia="SimSun"/>
          <w:color w:val="FF0000"/>
          <w:szCs w:val="20"/>
        </w:rPr>
        <w:t xml:space="preserve"> </w:t>
      </w:r>
    </w:p>
    <w:p w14:paraId="61AA2A0A" w14:textId="77777777" w:rsidR="00A87D0B" w:rsidRPr="00C84ACB" w:rsidRDefault="00A87D0B" w:rsidP="00A87D0B">
      <w:pPr>
        <w:numPr>
          <w:ilvl w:val="2"/>
          <w:numId w:val="94"/>
        </w:numPr>
        <w:tabs>
          <w:tab w:val="left" w:pos="0"/>
        </w:tabs>
        <w:suppressAutoHyphens/>
        <w:snapToGrid w:val="0"/>
        <w:rPr>
          <w:rFonts w:eastAsia="SimSun"/>
          <w:color w:val="FF0000"/>
          <w:szCs w:val="20"/>
        </w:rPr>
      </w:pPr>
      <w:r w:rsidRPr="00C84ACB">
        <w:rPr>
          <w:rFonts w:eastAsia="SimSun"/>
          <w:color w:val="FF0000"/>
          <w:szCs w:val="20"/>
        </w:rPr>
        <w:t>Note: Periodic and semi-persistent reporting can be considered</w:t>
      </w:r>
    </w:p>
    <w:p w14:paraId="581BB373" w14:textId="77777777" w:rsidR="00A87D0B" w:rsidRPr="00C84ACB" w:rsidRDefault="00A87D0B" w:rsidP="00A87D0B">
      <w:pPr>
        <w:numPr>
          <w:ilvl w:val="2"/>
          <w:numId w:val="94"/>
        </w:numPr>
        <w:tabs>
          <w:tab w:val="left" w:pos="0"/>
        </w:tabs>
        <w:suppressAutoHyphens/>
        <w:snapToGrid w:val="0"/>
        <w:rPr>
          <w:rFonts w:eastAsia="SimSun"/>
          <w:strike/>
          <w:color w:val="FF0000"/>
          <w:szCs w:val="20"/>
        </w:rPr>
      </w:pPr>
      <w:r w:rsidRPr="00C84ACB">
        <w:rPr>
          <w:rFonts w:eastAsia="SimSun"/>
          <w:strike/>
          <w:szCs w:val="20"/>
        </w:rPr>
        <w:t>Note: Aperiodic reporting on PUCCH</w:t>
      </w:r>
      <w:r w:rsidRPr="00C84ACB">
        <w:rPr>
          <w:rFonts w:eastAsia="SimSun"/>
          <w:strike/>
          <w:color w:val="FF0000"/>
          <w:szCs w:val="20"/>
        </w:rPr>
        <w:t xml:space="preserve"> can be considered </w:t>
      </w:r>
    </w:p>
    <w:p w14:paraId="39C0193F" w14:textId="77777777" w:rsidR="00A87D0B" w:rsidRPr="00C84ACB" w:rsidRDefault="00A87D0B" w:rsidP="00A87D0B">
      <w:pPr>
        <w:numPr>
          <w:ilvl w:val="1"/>
          <w:numId w:val="94"/>
        </w:numPr>
        <w:tabs>
          <w:tab w:val="left" w:pos="0"/>
        </w:tabs>
        <w:suppressAutoHyphens/>
        <w:snapToGrid w:val="0"/>
        <w:rPr>
          <w:rFonts w:eastAsia="SimSun"/>
          <w:szCs w:val="20"/>
        </w:rPr>
      </w:pPr>
      <w:r w:rsidRPr="00C84ACB">
        <w:rPr>
          <w:rFonts w:eastAsia="SimSun"/>
          <w:szCs w:val="20"/>
        </w:rPr>
        <w:t>New report quantities: e.g. L1-SRS-RSRP, L1-CLI-RSSI and/or RS indexes</w:t>
      </w:r>
    </w:p>
    <w:p w14:paraId="199550E5" w14:textId="77777777" w:rsidR="00A87D0B" w:rsidRPr="00C84ACB" w:rsidRDefault="00A87D0B" w:rsidP="00A87D0B">
      <w:pPr>
        <w:pStyle w:val="ListParagraph"/>
        <w:widowControl w:val="0"/>
        <w:numPr>
          <w:ilvl w:val="2"/>
          <w:numId w:val="94"/>
        </w:numPr>
        <w:tabs>
          <w:tab w:val="left" w:pos="0"/>
        </w:tabs>
        <w:suppressAutoHyphens/>
        <w:snapToGrid w:val="0"/>
        <w:spacing w:before="30" w:after="0" w:line="60" w:lineRule="atLeast"/>
        <w:contextualSpacing w:val="0"/>
        <w:jc w:val="both"/>
        <w:rPr>
          <w:rFonts w:ascii="Times New Roman" w:eastAsia="SimSun" w:hAnsi="Times New Roman" w:cs="Times New Roman"/>
          <w:color w:val="FF0000"/>
          <w:szCs w:val="20"/>
        </w:rPr>
      </w:pPr>
      <w:r w:rsidRPr="00C84ACB">
        <w:rPr>
          <w:rFonts w:ascii="Times New Roman" w:eastAsia="SimSun" w:hAnsi="Times New Roman" w:cs="Times New Roman"/>
          <w:color w:val="FF0000"/>
          <w:szCs w:val="20"/>
        </w:rPr>
        <w:t xml:space="preserve">Note: At least wideband reporting is supported </w:t>
      </w:r>
    </w:p>
    <w:p w14:paraId="104D0DDA" w14:textId="77777777" w:rsidR="00A87D0B" w:rsidRPr="00C84ACB" w:rsidRDefault="00A87D0B" w:rsidP="00A87D0B">
      <w:pPr>
        <w:numPr>
          <w:ilvl w:val="1"/>
          <w:numId w:val="94"/>
        </w:numPr>
        <w:tabs>
          <w:tab w:val="left" w:pos="0"/>
        </w:tabs>
        <w:suppressAutoHyphens/>
        <w:snapToGrid w:val="0"/>
        <w:rPr>
          <w:rFonts w:eastAsia="SimSun"/>
          <w:szCs w:val="20"/>
        </w:rPr>
      </w:pPr>
      <w:r w:rsidRPr="00C84ACB">
        <w:rPr>
          <w:rFonts w:eastAsia="SimSun"/>
          <w:szCs w:val="20"/>
        </w:rPr>
        <w:t xml:space="preserve">UCI bits generation </w:t>
      </w:r>
    </w:p>
    <w:p w14:paraId="7719218F" w14:textId="77777777" w:rsidR="00A87D0B" w:rsidRPr="00C84ACB" w:rsidRDefault="00A87D0B" w:rsidP="00A87D0B">
      <w:pPr>
        <w:numPr>
          <w:ilvl w:val="1"/>
          <w:numId w:val="94"/>
        </w:numPr>
        <w:tabs>
          <w:tab w:val="left" w:pos="0"/>
        </w:tabs>
        <w:suppressAutoHyphens/>
        <w:snapToGrid w:val="0"/>
        <w:rPr>
          <w:rFonts w:eastAsia="SimSun"/>
          <w:strike/>
          <w:color w:val="FF0000"/>
          <w:szCs w:val="20"/>
        </w:rPr>
      </w:pPr>
      <w:r w:rsidRPr="00C84ACB">
        <w:rPr>
          <w:rFonts w:eastAsia="SimSun"/>
          <w:strike/>
          <w:color w:val="FF0000"/>
          <w:szCs w:val="20"/>
        </w:rPr>
        <w:t xml:space="preserve">UCI omission rule </w:t>
      </w:r>
    </w:p>
    <w:p w14:paraId="1A296216" w14:textId="77777777" w:rsidR="00A87D0B" w:rsidRPr="00C84ACB" w:rsidRDefault="00A87D0B" w:rsidP="00A87D0B">
      <w:pPr>
        <w:numPr>
          <w:ilvl w:val="1"/>
          <w:numId w:val="94"/>
        </w:numPr>
        <w:tabs>
          <w:tab w:val="left" w:pos="0"/>
        </w:tabs>
        <w:suppressAutoHyphens/>
        <w:snapToGrid w:val="0"/>
        <w:rPr>
          <w:rFonts w:eastAsia="SimSun"/>
          <w:szCs w:val="20"/>
        </w:rPr>
      </w:pPr>
      <w:r w:rsidRPr="00C84ACB">
        <w:rPr>
          <w:rFonts w:eastAsia="SimSun"/>
          <w:szCs w:val="20"/>
        </w:rPr>
        <w:t>Priority rules for multiple CSI reporting</w:t>
      </w:r>
    </w:p>
    <w:p w14:paraId="40A4B87D" w14:textId="77777777" w:rsidR="00A87D0B" w:rsidRPr="00C84ACB" w:rsidRDefault="00A87D0B" w:rsidP="00A87D0B">
      <w:pPr>
        <w:numPr>
          <w:ilvl w:val="1"/>
          <w:numId w:val="94"/>
        </w:numPr>
        <w:tabs>
          <w:tab w:val="left" w:pos="0"/>
        </w:tabs>
        <w:suppressAutoHyphens/>
        <w:snapToGrid w:val="0"/>
        <w:rPr>
          <w:rFonts w:eastAsia="SimSun"/>
          <w:strike/>
          <w:color w:val="FF0000"/>
          <w:szCs w:val="20"/>
        </w:rPr>
      </w:pPr>
      <w:r w:rsidRPr="00C84ACB">
        <w:rPr>
          <w:rFonts w:eastAsia="SimSun"/>
          <w:strike/>
          <w:color w:val="FF0000"/>
          <w:szCs w:val="20"/>
        </w:rPr>
        <w:t>CSI processing unit and CPU occupation rule</w:t>
      </w:r>
    </w:p>
    <w:p w14:paraId="0A466CBA" w14:textId="77777777" w:rsidR="00A87D0B" w:rsidRPr="00C84ACB" w:rsidRDefault="00A87D0B" w:rsidP="00A87D0B">
      <w:pPr>
        <w:numPr>
          <w:ilvl w:val="1"/>
          <w:numId w:val="94"/>
        </w:numPr>
        <w:tabs>
          <w:tab w:val="left" w:pos="0"/>
        </w:tabs>
        <w:suppressAutoHyphens/>
        <w:snapToGrid w:val="0"/>
        <w:rPr>
          <w:rFonts w:eastAsia="SimSun"/>
          <w:color w:val="FF0000"/>
          <w:szCs w:val="20"/>
        </w:rPr>
      </w:pPr>
      <w:r w:rsidRPr="00C84ACB">
        <w:rPr>
          <w:rFonts w:eastAsia="SimSun"/>
          <w:strike/>
          <w:color w:val="FF0000"/>
          <w:szCs w:val="20"/>
        </w:rPr>
        <w:t>Timeline and related UE behaviours</w:t>
      </w:r>
    </w:p>
    <w:p w14:paraId="4AC5E2D4" w14:textId="77777777" w:rsidR="00A87D0B" w:rsidRPr="00C84ACB" w:rsidRDefault="00A87D0B" w:rsidP="00A87D0B">
      <w:pPr>
        <w:numPr>
          <w:ilvl w:val="1"/>
          <w:numId w:val="94"/>
        </w:numPr>
        <w:tabs>
          <w:tab w:val="left" w:pos="0"/>
        </w:tabs>
        <w:suppressAutoHyphens/>
        <w:snapToGrid w:val="0"/>
        <w:rPr>
          <w:rFonts w:eastAsia="SimSun"/>
          <w:color w:val="FF0000"/>
          <w:szCs w:val="20"/>
        </w:rPr>
      </w:pPr>
      <w:r w:rsidRPr="00C84ACB">
        <w:rPr>
          <w:rFonts w:eastAsia="SimSun"/>
          <w:color w:val="FF0000"/>
          <w:szCs w:val="20"/>
        </w:rPr>
        <w:t>Note: The existing</w:t>
      </w:r>
      <w:r w:rsidRPr="00C84ACB">
        <w:rPr>
          <w:rFonts w:eastAsia="SimSun"/>
          <w:strike/>
          <w:color w:val="FF0000"/>
          <w:szCs w:val="20"/>
        </w:rPr>
        <w:t xml:space="preserve"> UCI omission rule,</w:t>
      </w:r>
      <w:r w:rsidRPr="00C84ACB">
        <w:rPr>
          <w:rFonts w:eastAsia="SimSun"/>
          <w:color w:val="FF0000"/>
          <w:szCs w:val="20"/>
        </w:rPr>
        <w:t xml:space="preserve"> CSI processing unit, CPU occupation rule and timeline for L1 beam reporting are reused for L1 UE-to-UE CLI measurement and reporting as starting point.</w:t>
      </w:r>
    </w:p>
    <w:p w14:paraId="249BAEE4" w14:textId="77777777" w:rsidR="00A87D0B" w:rsidRPr="000A5D9E" w:rsidRDefault="00A87D0B" w:rsidP="00A87D0B">
      <w:pPr>
        <w:numPr>
          <w:ilvl w:val="0"/>
          <w:numId w:val="94"/>
        </w:numPr>
        <w:tabs>
          <w:tab w:val="left" w:pos="0"/>
        </w:tabs>
        <w:suppressAutoHyphens/>
        <w:snapToGrid w:val="0"/>
        <w:rPr>
          <w:rFonts w:eastAsia="SimSun"/>
          <w:szCs w:val="20"/>
        </w:rPr>
      </w:pPr>
      <w:r w:rsidRPr="000A5D9E">
        <w:rPr>
          <w:rFonts w:eastAsia="SimSun"/>
          <w:szCs w:val="20"/>
        </w:rPr>
        <w:t>CLI measurement accuracy requirement [RAN4]</w:t>
      </w:r>
    </w:p>
    <w:p w14:paraId="03912C6F" w14:textId="77777777" w:rsidR="00A87D0B" w:rsidRPr="00EA7AAF" w:rsidRDefault="00A87D0B" w:rsidP="00A87D0B">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 xml:space="preserve">lt3 </w:t>
      </w:r>
      <w:proofErr w:type="spellStart"/>
      <w:r w:rsidRPr="00EA7AAF">
        <w:rPr>
          <w:rFonts w:eastAsiaTheme="minorEastAsia"/>
          <w:szCs w:val="20"/>
          <w:lang w:val="fr-FR" w:eastAsia="ko-KR"/>
        </w:rPr>
        <w:t>will</w:t>
      </w:r>
      <w:proofErr w:type="spellEnd"/>
      <w:r w:rsidRPr="00EA7AAF">
        <w:rPr>
          <w:rFonts w:eastAsiaTheme="minorEastAsia"/>
          <w:szCs w:val="20"/>
          <w:lang w:val="fr-FR" w:eastAsia="ko-KR"/>
        </w:rPr>
        <w:t xml:space="preserve"> not </w:t>
      </w:r>
      <w:proofErr w:type="spellStart"/>
      <w:r w:rsidRPr="00EA7AAF">
        <w:rPr>
          <w:rFonts w:eastAsiaTheme="minorEastAsia"/>
          <w:szCs w:val="20"/>
          <w:lang w:val="fr-FR" w:eastAsia="ko-KR"/>
        </w:rPr>
        <w:t>be</w:t>
      </w:r>
      <w:proofErr w:type="spellEnd"/>
      <w:r w:rsidRPr="00EA7AAF">
        <w:rPr>
          <w:rFonts w:eastAsiaTheme="minorEastAsia"/>
          <w:szCs w:val="20"/>
          <w:lang w:val="fr-FR" w:eastAsia="ko-KR"/>
        </w:rPr>
        <w:t xml:space="preserve"> </w:t>
      </w:r>
      <w:proofErr w:type="spellStart"/>
      <w:r w:rsidRPr="00EA7AAF">
        <w:rPr>
          <w:rFonts w:eastAsiaTheme="minorEastAsia"/>
          <w:szCs w:val="20"/>
          <w:lang w:val="fr-FR" w:eastAsia="ko-KR"/>
        </w:rPr>
        <w:t>considered</w:t>
      </w:r>
      <w:proofErr w:type="spellEnd"/>
      <w:r w:rsidRPr="00EA7AAF">
        <w:rPr>
          <w:rFonts w:eastAsiaTheme="minorEastAsia"/>
          <w:szCs w:val="20"/>
          <w:lang w:val="fr-FR" w:eastAsia="ko-KR"/>
        </w:rPr>
        <w:t xml:space="preserve"> in the </w:t>
      </w:r>
      <w:proofErr w:type="spellStart"/>
      <w:r w:rsidRPr="00EA7AAF">
        <w:rPr>
          <w:rFonts w:eastAsiaTheme="minorEastAsia"/>
          <w:szCs w:val="20"/>
          <w:lang w:val="fr-FR" w:eastAsia="ko-KR"/>
        </w:rPr>
        <w:t>downselection</w:t>
      </w:r>
      <w:proofErr w:type="spellEnd"/>
      <w:r>
        <w:rPr>
          <w:rFonts w:eastAsiaTheme="minorEastAsia"/>
          <w:szCs w:val="20"/>
          <w:lang w:val="fr-FR" w:eastAsia="ko-KR"/>
        </w:rPr>
        <w:t xml:space="preserve"> (i.e. </w:t>
      </w:r>
      <w:proofErr w:type="spellStart"/>
      <w:r>
        <w:rPr>
          <w:rFonts w:eastAsiaTheme="minorEastAsia"/>
          <w:szCs w:val="20"/>
          <w:lang w:val="fr-FR" w:eastAsia="ko-KR"/>
        </w:rPr>
        <w:t>only</w:t>
      </w:r>
      <w:proofErr w:type="spellEnd"/>
      <w:r>
        <w:rPr>
          <w:rFonts w:eastAsiaTheme="minorEastAsia"/>
          <w:szCs w:val="20"/>
          <w:lang w:val="fr-FR" w:eastAsia="ko-KR"/>
        </w:rPr>
        <w:t xml:space="preserve"> Alt 1 and Alt 2 </w:t>
      </w:r>
      <w:proofErr w:type="spellStart"/>
      <w:r>
        <w:rPr>
          <w:rFonts w:eastAsiaTheme="minorEastAsia"/>
          <w:szCs w:val="20"/>
          <w:lang w:val="fr-FR" w:eastAsia="ko-KR"/>
        </w:rPr>
        <w:t>will</w:t>
      </w:r>
      <w:proofErr w:type="spellEnd"/>
      <w:r>
        <w:rPr>
          <w:rFonts w:eastAsiaTheme="minorEastAsia"/>
          <w:szCs w:val="20"/>
          <w:lang w:val="fr-FR" w:eastAsia="ko-KR"/>
        </w:rPr>
        <w:t xml:space="preserve"> </w:t>
      </w:r>
      <w:proofErr w:type="spellStart"/>
      <w:r>
        <w:rPr>
          <w:rFonts w:eastAsiaTheme="minorEastAsia"/>
          <w:szCs w:val="20"/>
          <w:lang w:val="fr-FR" w:eastAsia="ko-KR"/>
        </w:rPr>
        <w:t>be</w:t>
      </w:r>
      <w:proofErr w:type="spellEnd"/>
      <w:r>
        <w:rPr>
          <w:rFonts w:eastAsiaTheme="minorEastAsia"/>
          <w:szCs w:val="20"/>
          <w:lang w:val="fr-FR" w:eastAsia="ko-KR"/>
        </w:rPr>
        <w:t xml:space="preserve"> </w:t>
      </w:r>
      <w:proofErr w:type="spellStart"/>
      <w:r>
        <w:rPr>
          <w:rFonts w:eastAsiaTheme="minorEastAsia"/>
          <w:szCs w:val="20"/>
          <w:lang w:val="fr-FR" w:eastAsia="ko-KR"/>
        </w:rPr>
        <w:t>considered</w:t>
      </w:r>
      <w:proofErr w:type="spellEnd"/>
      <w:r>
        <w:rPr>
          <w:rFonts w:eastAsiaTheme="minorEastAsia"/>
          <w:szCs w:val="20"/>
          <w:lang w:val="fr-FR" w:eastAsia="ko-KR"/>
        </w:rPr>
        <w:t>)</w:t>
      </w:r>
    </w:p>
    <w:p w14:paraId="22019AF1" w14:textId="77777777" w:rsidR="00A17081" w:rsidRPr="00AD44E7" w:rsidRDefault="00A17081" w:rsidP="001907D3">
      <w:pPr>
        <w:rPr>
          <w:rFonts w:eastAsiaTheme="minorEastAsia"/>
          <w:lang w:val="en-GB" w:eastAsia="zh-CN"/>
        </w:rPr>
      </w:pPr>
    </w:p>
    <w:p w14:paraId="0D53EC63" w14:textId="77777777" w:rsidR="00E57ACA" w:rsidRPr="00AD44E7" w:rsidRDefault="00E57ACA" w:rsidP="00E57ACA">
      <w:pPr>
        <w:rPr>
          <w:rFonts w:eastAsia="SimSun"/>
        </w:rPr>
      </w:pPr>
    </w:p>
    <w:p w14:paraId="67A05925" w14:textId="77777777" w:rsidR="00E57ACA" w:rsidRPr="00526BE7" w:rsidRDefault="00E57ACA" w:rsidP="00E57ACA">
      <w:pPr>
        <w:rPr>
          <w:rFonts w:eastAsia="SimSun"/>
        </w:rPr>
      </w:pPr>
      <w:r w:rsidRPr="00526BE7">
        <w:rPr>
          <w:rFonts w:eastAsia="SimSun"/>
        </w:rPr>
        <w:t>For L1-RSRP report for beam selection, the UE usually reports the strongest L1-RSRP from a subset of SSBs/CSI-RSs to improve the beam selection performance. However, the L1-SRS-RSRP report is for a UE to report the interference level from another UE. Then how to define the SRS selection scheme for the L1-SRS-RSRP report could be another issue</w:t>
      </w:r>
      <w:r w:rsidRPr="00526BE7">
        <w:rPr>
          <w:rFonts w:eastAsia="SimSun"/>
          <w:lang w:val="en-GB"/>
        </w:rPr>
        <w:t xml:space="preserve"> to be further discussed</w:t>
      </w:r>
      <w:r w:rsidRPr="00526BE7">
        <w:rPr>
          <w:rFonts w:eastAsia="SimSun"/>
        </w:rPr>
        <w:t>.</w:t>
      </w:r>
    </w:p>
    <w:p w14:paraId="0D88CFB7" w14:textId="77777777" w:rsidR="00E57ACA" w:rsidRPr="00526BE7" w:rsidRDefault="00E57ACA" w:rsidP="00E57ACA">
      <w:pPr>
        <w:rPr>
          <w:rFonts w:eastAsia="SimSun"/>
        </w:rPr>
      </w:pPr>
    </w:p>
    <w:p w14:paraId="549548D7" w14:textId="77777777" w:rsidR="00E57ACA" w:rsidRPr="00526BE7" w:rsidRDefault="00E57ACA" w:rsidP="00E57ACA">
      <w:pPr>
        <w:rPr>
          <w:rFonts w:eastAsia="SimSun"/>
        </w:rPr>
      </w:pPr>
    </w:p>
    <w:p w14:paraId="7E184422" w14:textId="77777777" w:rsidR="00E57ACA" w:rsidRPr="00526BE7" w:rsidRDefault="00E57ACA" w:rsidP="00E57ACA">
      <w:pPr>
        <w:rPr>
          <w:rFonts w:eastAsia="SimSun"/>
        </w:rPr>
      </w:pPr>
      <w:r w:rsidRPr="00526BE7">
        <w:rPr>
          <w:rFonts w:eastAsia="SimSun"/>
        </w:rPr>
        <w:t>Further the SRS</w:t>
      </w:r>
      <w:r w:rsidRPr="00526BE7">
        <w:rPr>
          <w:rFonts w:eastAsia="SimSun"/>
          <w:lang w:val="en-GB"/>
        </w:rPr>
        <w:t xml:space="preserve"> transmission</w:t>
      </w:r>
      <w:r w:rsidRPr="00526BE7">
        <w:rPr>
          <w:rFonts w:eastAsia="SimSun"/>
        </w:rPr>
        <w:t xml:space="preserve"> from the </w:t>
      </w:r>
      <w:r w:rsidRPr="00526BE7">
        <w:rPr>
          <w:rFonts w:eastAsia="SimSun"/>
          <w:lang w:val="en-GB"/>
        </w:rPr>
        <w:t>aggressor</w:t>
      </w:r>
      <w:r w:rsidRPr="00526BE7">
        <w:rPr>
          <w:rFonts w:eastAsia="SimSun"/>
        </w:rPr>
        <w:t xml:space="preserve"> UE may not be always guaranteed, e.g., due to collision with other uplink signal</w:t>
      </w:r>
      <w:r w:rsidRPr="00526BE7">
        <w:rPr>
          <w:rFonts w:eastAsia="SimSun"/>
          <w:lang w:val="en-GB"/>
        </w:rPr>
        <w:t>s</w:t>
      </w:r>
      <w:r w:rsidRPr="00526BE7">
        <w:rPr>
          <w:rFonts w:eastAsia="SimSun"/>
        </w:rPr>
        <w:t xml:space="preserve">, </w:t>
      </w:r>
      <w:r w:rsidRPr="00526BE7">
        <w:rPr>
          <w:rFonts w:eastAsia="SimSun"/>
          <w:lang w:val="en-GB"/>
        </w:rPr>
        <w:t xml:space="preserve">and </w:t>
      </w:r>
      <w:r w:rsidRPr="00526BE7">
        <w:rPr>
          <w:rFonts w:eastAsia="SimSun"/>
        </w:rPr>
        <w:t xml:space="preserve">the </w:t>
      </w:r>
      <w:r w:rsidRPr="00526BE7">
        <w:rPr>
          <w:rFonts w:eastAsia="SimSun"/>
          <w:lang w:val="en-GB"/>
        </w:rPr>
        <w:t>aggressor</w:t>
      </w:r>
      <w:r w:rsidRPr="00526BE7">
        <w:rPr>
          <w:rFonts w:eastAsia="SimSun"/>
        </w:rPr>
        <w:t xml:space="preserve"> UE may drop the SRS transmission. Then the </w:t>
      </w:r>
      <w:r w:rsidRPr="00526BE7">
        <w:rPr>
          <w:rFonts w:eastAsia="SimSun"/>
          <w:lang w:val="en-GB"/>
        </w:rPr>
        <w:t>victim</w:t>
      </w:r>
      <w:r w:rsidRPr="00526BE7">
        <w:rPr>
          <w:rFonts w:eastAsia="SimSun"/>
        </w:rPr>
        <w:t xml:space="preserve"> UE may not be able to measure the SRS. </w:t>
      </w:r>
    </w:p>
    <w:p w14:paraId="03FAB900" w14:textId="77777777" w:rsidR="00E57ACA" w:rsidRPr="00526BE7" w:rsidRDefault="00E57ACA" w:rsidP="00E57ACA">
      <w:pPr>
        <w:rPr>
          <w:rFonts w:eastAsia="SimSun"/>
        </w:rPr>
      </w:pPr>
    </w:p>
    <w:p w14:paraId="4497F703" w14:textId="77777777" w:rsidR="00E57ACA" w:rsidRPr="00526BE7" w:rsidRDefault="00E57ACA" w:rsidP="00E57ACA">
      <w:pPr>
        <w:pStyle w:val="ListParagraph"/>
        <w:ind w:left="360"/>
        <w:rPr>
          <w:rFonts w:ascii="Times New Roman" w:eastAsiaTheme="minorEastAsia" w:hAnsi="Times New Roman" w:cs="Times New Roman"/>
          <w:b/>
          <w:bCs/>
          <w:i/>
          <w:iCs/>
          <w:noProof/>
          <w:lang w:val="en-GB" w:eastAsia="zh-CN"/>
        </w:rPr>
      </w:pPr>
    </w:p>
    <w:p w14:paraId="14EC08E8" w14:textId="77777777" w:rsidR="00E57ACA" w:rsidRPr="00526BE7" w:rsidRDefault="00E57ACA" w:rsidP="00E57ACA">
      <w:pPr>
        <w:pStyle w:val="ListParagraph"/>
        <w:numPr>
          <w:ilvl w:val="0"/>
          <w:numId w:val="66"/>
        </w:numPr>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3E1E6574" w14:textId="77777777" w:rsidR="00E57ACA" w:rsidRPr="00526BE7" w:rsidRDefault="00E57ACA" w:rsidP="00E57ACA">
      <w:pPr>
        <w:rPr>
          <w:rFonts w:eastAsia="SimSun"/>
        </w:rPr>
      </w:pPr>
    </w:p>
    <w:p w14:paraId="2F26DD52" w14:textId="77777777" w:rsidR="00E57ACA" w:rsidRPr="00526BE7" w:rsidRDefault="00E57ACA" w:rsidP="00E57ACA">
      <w:pPr>
        <w:rPr>
          <w:rFonts w:eastAsia="SimSun"/>
        </w:rPr>
      </w:pPr>
      <w:r w:rsidRPr="00526BE7">
        <w:rPr>
          <w:rFonts w:eastAsia="SimSun"/>
          <w:lang w:val="en-GB"/>
        </w:rPr>
        <w:t>Also, the</w:t>
      </w:r>
      <w:r w:rsidRPr="00526BE7">
        <w:rPr>
          <w:rFonts w:eastAsia="SimSun"/>
        </w:rPr>
        <w:t xml:space="preserve"> L1-SRS-RSRP report from the </w:t>
      </w:r>
      <w:r w:rsidRPr="00526BE7">
        <w:rPr>
          <w:rFonts w:eastAsia="SimSun"/>
          <w:lang w:val="en-GB"/>
        </w:rPr>
        <w:t>victim</w:t>
      </w:r>
      <w:r w:rsidRPr="00526BE7">
        <w:rPr>
          <w:rFonts w:eastAsia="SimSun"/>
        </w:rPr>
        <w:t xml:space="preserve"> UE may also overlap with other uplink signal</w:t>
      </w:r>
      <w:r w:rsidRPr="00526BE7">
        <w:rPr>
          <w:rFonts w:eastAsia="SimSun"/>
          <w:lang w:val="en-GB"/>
        </w:rPr>
        <w:t>s</w:t>
      </w:r>
      <w:r w:rsidRPr="00526BE7">
        <w:rPr>
          <w:rFonts w:eastAsia="SimSun"/>
        </w:rPr>
        <w:t xml:space="preserve">, e.g., other CSI report, SRS, and so on. Then how to transmit the L1-SRS-RSRP report could be another </w:t>
      </w:r>
      <w:r w:rsidRPr="00526BE7">
        <w:rPr>
          <w:rFonts w:eastAsia="SimSun"/>
          <w:lang w:val="en-GB"/>
        </w:rPr>
        <w:t>issue to be discussed and addressed</w:t>
      </w:r>
      <w:r w:rsidRPr="00526BE7">
        <w:rPr>
          <w:rFonts w:eastAsia="SimSun"/>
        </w:rPr>
        <w:t>.</w:t>
      </w:r>
    </w:p>
    <w:p w14:paraId="010565E4" w14:textId="77777777" w:rsidR="00E57ACA" w:rsidRPr="00526BE7" w:rsidRDefault="00E57ACA" w:rsidP="00E57ACA">
      <w:pPr>
        <w:rPr>
          <w:rFonts w:eastAsia="SimSun"/>
        </w:rPr>
      </w:pPr>
    </w:p>
    <w:p w14:paraId="472279CD" w14:textId="77777777" w:rsidR="00E57ACA" w:rsidRPr="00526BE7" w:rsidRDefault="00E57ACA" w:rsidP="00E57ACA">
      <w:pPr>
        <w:jc w:val="both"/>
        <w:rPr>
          <w:rFonts w:eastAsia="SimSun"/>
        </w:rPr>
      </w:pPr>
    </w:p>
    <w:p w14:paraId="10A77A21" w14:textId="77777777" w:rsidR="00E57ACA" w:rsidRPr="00526BE7" w:rsidRDefault="00E57ACA" w:rsidP="00E57ACA">
      <w:pPr>
        <w:jc w:val="both"/>
        <w:rPr>
          <w:rFonts w:eastAsia="SimSun"/>
          <w:lang w:val="en-GB"/>
        </w:rPr>
      </w:pPr>
      <w:r w:rsidRPr="00526BE7">
        <w:rPr>
          <w:rFonts w:eastAsia="SimSun"/>
          <w:lang w:val="en-GB"/>
        </w:rPr>
        <w:t xml:space="preserve">The UE can measure the L1-SRS-RSRP for each SRS resource based on the entire bandwidth of the SRS resource or on the overlapping between the SRS bandwidth and the UL </w:t>
      </w:r>
      <w:proofErr w:type="spellStart"/>
      <w:r w:rsidRPr="00526BE7">
        <w:rPr>
          <w:rFonts w:eastAsia="SimSun"/>
          <w:lang w:val="en-GB"/>
        </w:rPr>
        <w:t>subband</w:t>
      </w:r>
      <w:proofErr w:type="spellEnd"/>
      <w:r w:rsidRPr="00526BE7">
        <w:rPr>
          <w:rFonts w:eastAsia="SimSun"/>
          <w:lang w:val="en-GB"/>
        </w:rPr>
        <w:t xml:space="preserve"> of the victim UE. </w:t>
      </w:r>
    </w:p>
    <w:p w14:paraId="0404FBF7" w14:textId="77777777" w:rsidR="00E57ACA" w:rsidRPr="00526BE7" w:rsidRDefault="00E57ACA" w:rsidP="00E57ACA">
      <w:pPr>
        <w:jc w:val="both"/>
        <w:rPr>
          <w:rFonts w:eastAsia="SimSun"/>
          <w:lang w:val="en-GB"/>
        </w:rPr>
      </w:pPr>
    </w:p>
    <w:p w14:paraId="4E42DA24" w14:textId="77777777" w:rsidR="00E57ACA" w:rsidRPr="00526BE7" w:rsidRDefault="00E57ACA" w:rsidP="00E57ACA">
      <w:pPr>
        <w:jc w:val="both"/>
        <w:rPr>
          <w:rFonts w:eastAsia="SimSun"/>
          <w:lang w:val="en-GB"/>
        </w:rPr>
      </w:pPr>
      <w:r w:rsidRPr="00526BE7">
        <w:rPr>
          <w:rFonts w:eastAsia="SimSun"/>
          <w:lang w:val="en-GB"/>
        </w:rPr>
        <w:lastRenderedPageBreak/>
        <w:t>It should also be discussed whether the UE is supposed to report the highest L1-SRS-RSRPs measured for all the SRS resources configured as CMR or if it should also report highest and lowest L1-SRS-RSRPs.</w:t>
      </w:r>
    </w:p>
    <w:p w14:paraId="75B785BF" w14:textId="77777777" w:rsidR="00E57ACA" w:rsidRPr="00526BE7" w:rsidRDefault="00E57ACA" w:rsidP="00E57ACA">
      <w:pPr>
        <w:pStyle w:val="ListParagraph"/>
        <w:ind w:left="360"/>
        <w:rPr>
          <w:rFonts w:ascii="Times New Roman" w:eastAsiaTheme="minorEastAsia" w:hAnsi="Times New Roman" w:cs="Times New Roman"/>
          <w:b/>
          <w:bCs/>
          <w:i/>
          <w:iCs/>
          <w:noProof/>
          <w:lang w:val="en-GB" w:eastAsia="zh-CN"/>
        </w:rPr>
      </w:pPr>
    </w:p>
    <w:p w14:paraId="1C92D518" w14:textId="77777777" w:rsidR="00E57ACA" w:rsidRPr="00526BE7" w:rsidRDefault="00E57ACA" w:rsidP="00E57ACA">
      <w:pPr>
        <w:pStyle w:val="ListParagraph"/>
        <w:numPr>
          <w:ilvl w:val="0"/>
          <w:numId w:val="66"/>
        </w:numPr>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The UE to report a specified/configurable number N of the highest L1-SRS-RSRPs from all the measured SRS resources of different potential agressor UEs.</w:t>
      </w:r>
    </w:p>
    <w:p w14:paraId="4805B1FD" w14:textId="77777777" w:rsidR="00E57ACA" w:rsidRPr="00526BE7" w:rsidRDefault="00E57ACA" w:rsidP="00E57ACA">
      <w:pPr>
        <w:jc w:val="both"/>
        <w:rPr>
          <w:rFonts w:eastAsia="SimSun"/>
          <w:lang w:val="en-GB"/>
        </w:rPr>
      </w:pPr>
      <w:r w:rsidRPr="00526BE7">
        <w:rPr>
          <w:rFonts w:eastAsia="SimSun"/>
          <w:lang w:val="en-GB"/>
        </w:rPr>
        <w:t>The network can configure an SRS resource subset restriction, which indicates a subset of SRS resources from the SRS resources configured as CMR and the UE should report the L1-SRS-</w:t>
      </w:r>
      <w:proofErr w:type="gramStart"/>
      <w:r w:rsidRPr="00526BE7">
        <w:rPr>
          <w:rFonts w:eastAsia="SimSun"/>
          <w:lang w:val="en-GB"/>
        </w:rPr>
        <w:t>RSRP  based</w:t>
      </w:r>
      <w:proofErr w:type="gramEnd"/>
      <w:r w:rsidRPr="00526BE7">
        <w:rPr>
          <w:rFonts w:eastAsia="SimSun"/>
          <w:lang w:val="en-GB"/>
        </w:rPr>
        <w:t xml:space="preserve"> on the SRS resources in the SRS resource subset.</w:t>
      </w:r>
    </w:p>
    <w:p w14:paraId="1D8A2090" w14:textId="77777777" w:rsidR="00E57ACA" w:rsidRPr="00526BE7" w:rsidRDefault="00E57ACA" w:rsidP="00E57ACA">
      <w:pPr>
        <w:rPr>
          <w:rFonts w:eastAsiaTheme="minorEastAsia"/>
          <w:b/>
          <w:bCs/>
          <w:i/>
          <w:iCs/>
          <w:noProof/>
          <w:lang w:val="en-GB" w:eastAsia="zh-CN"/>
        </w:rPr>
      </w:pPr>
    </w:p>
    <w:p w14:paraId="570FEC22" w14:textId="77777777" w:rsidR="00E57ACA" w:rsidRPr="00526BE7" w:rsidRDefault="00E57ACA" w:rsidP="00E57ACA">
      <w:pPr>
        <w:jc w:val="both"/>
        <w:rPr>
          <w:rFonts w:eastAsia="SimSun"/>
          <w:lang w:val="en-GB"/>
        </w:rPr>
      </w:pPr>
    </w:p>
    <w:p w14:paraId="18E2BA8E" w14:textId="77777777" w:rsidR="00E57ACA" w:rsidRPr="00526BE7" w:rsidRDefault="00E57ACA" w:rsidP="00E57ACA">
      <w:pPr>
        <w:pStyle w:val="ListParagraph"/>
        <w:numPr>
          <w:ilvl w:val="0"/>
          <w:numId w:val="66"/>
        </w:numPr>
        <w:jc w:val="both"/>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The network to configure an SRS resource subset restriction and the UE to report the L1-SRS-RSRP  based on the SRS resources in the SRS resource subset.</w:t>
      </w:r>
    </w:p>
    <w:p w14:paraId="4D1BAA22" w14:textId="77777777" w:rsidR="00E57ACA" w:rsidRPr="00526BE7" w:rsidRDefault="00E57ACA" w:rsidP="00E57ACA">
      <w:pPr>
        <w:jc w:val="both"/>
        <w:rPr>
          <w:rFonts w:eastAsiaTheme="minorEastAsia"/>
          <w:lang w:val="en-GB" w:eastAsia="zh-CN"/>
        </w:rPr>
      </w:pPr>
    </w:p>
    <w:p w14:paraId="61C50B96" w14:textId="76C4D149" w:rsidR="00E57ACA" w:rsidRPr="008F2B1E" w:rsidRDefault="00E57ACA" w:rsidP="008F2B1E">
      <w:pPr>
        <w:jc w:val="both"/>
        <w:rPr>
          <w:sz w:val="28"/>
          <w:szCs w:val="28"/>
        </w:rPr>
      </w:pPr>
      <w:r w:rsidRPr="00526BE7">
        <w:rPr>
          <w:rFonts w:eastAsia="SimSun"/>
          <w:lang w:val="en-GB"/>
        </w:rPr>
        <w:t>For an SBFD UE with multiple antenna ports, it can measure and report the L1-SRS-RSRP per antenna port. If receiver diversity is in use by the SBFD UE, the reported L1-SRS-RSRP value should not be lower than the corresponding L1-SRS-RSRP of any of the individual receiver branches. If a multiple ports SRS resource is configured for L1-SRS-RSRP measurement, the UE can measure/report the L1-SRS-RSRP for each SRS port.</w:t>
      </w:r>
      <w:r w:rsidRPr="00526BE7">
        <w:rPr>
          <w:sz w:val="28"/>
          <w:szCs w:val="28"/>
        </w:rPr>
        <w:t xml:space="preserve"> </w:t>
      </w:r>
    </w:p>
    <w:p w14:paraId="5F5A53EE" w14:textId="77777777" w:rsidR="00E57ACA" w:rsidRPr="00526BE7" w:rsidRDefault="00E57ACA" w:rsidP="00E57ACA">
      <w:pPr>
        <w:jc w:val="both"/>
        <w:rPr>
          <w:rFonts w:eastAsia="SimSun"/>
          <w:lang w:val="en-GB"/>
        </w:rPr>
      </w:pPr>
    </w:p>
    <w:p w14:paraId="2752B485" w14:textId="77777777" w:rsidR="00E57ACA" w:rsidRPr="00526BE7" w:rsidRDefault="00E57ACA" w:rsidP="00E57ACA">
      <w:pPr>
        <w:pStyle w:val="ListParagraph"/>
        <w:numPr>
          <w:ilvl w:val="0"/>
          <w:numId w:val="66"/>
        </w:numPr>
        <w:jc w:val="both"/>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If a multiple ports SRS resource is configured for L1-SRS-RSRP measurement, the UE can measure/report the L1-SRS-RSRP for each SRS port.</w:t>
      </w:r>
    </w:p>
    <w:p w14:paraId="2AE40ABD" w14:textId="77777777" w:rsidR="00E57ACA" w:rsidRPr="00526BE7" w:rsidRDefault="00E57ACA" w:rsidP="00E57ACA">
      <w:pPr>
        <w:jc w:val="both"/>
        <w:rPr>
          <w:rFonts w:eastAsia="Times"/>
          <w:lang w:val="en-US"/>
        </w:rPr>
      </w:pPr>
    </w:p>
    <w:p w14:paraId="097CC5E3" w14:textId="77777777" w:rsidR="00E57ACA" w:rsidRPr="00526BE7" w:rsidRDefault="00E57ACA" w:rsidP="00E57ACA">
      <w:pPr>
        <w:spacing w:afterLines="50" w:after="120"/>
        <w:jc w:val="both"/>
        <w:rPr>
          <w:lang w:val="en-GB"/>
        </w:rPr>
      </w:pPr>
      <w:r w:rsidRPr="00526BE7">
        <w:rPr>
          <w:lang w:val="en-GB"/>
        </w:rPr>
        <w:t>From latency reduction perspective, PUCCH carrying HARQ ACK/NACK feedback and SRs should be allowed to be transmitted on the UL sub-bands of the SBFD slots/symbols. Resource allocation for PUCCH in SBFD symbols should be discussed. Also, CLI reporting can take place on PUCCH like other UCI signals (HARQ-ACK, CSI, SR, …) and can be allowed on SBFD slots/symbols and non-SBFD slots/symbols. The CLI reporting can also take place on PUSCH, for example when it is aperiodic or triggered when it meets a specified or configured threshold.</w:t>
      </w:r>
    </w:p>
    <w:p w14:paraId="12C0450C" w14:textId="77777777" w:rsidR="00E57ACA" w:rsidRPr="00AD44E7" w:rsidRDefault="00E57ACA" w:rsidP="00E57ACA">
      <w:pPr>
        <w:spacing w:afterLines="50" w:after="120"/>
        <w:jc w:val="both"/>
        <w:rPr>
          <w:lang w:val="en-GB"/>
        </w:rPr>
      </w:pPr>
      <w:r w:rsidRPr="00526BE7">
        <w:rPr>
          <w:lang w:val="en-GB"/>
        </w:rPr>
        <w:t>While measuring inter-UE CLI based on SRS from adjacent UEs offers great benefits, UE complexity must be carefully considered. This approach can be computationally intensive and power-consuming for the UE.  To reduce the complexity, the victim UE could initiate CLI measurement upon detecting multiple DL transmission failures, suggesting potential CLI. The UE could then assess overall CLI using group-based simultaneous SRS transmissions from suspected aggressor UEs. Based on this assessment, the UE could dynamically adjust the frequency of CLI measurement and reporting, and reducing these activities when CLI levels fall below specified/configur</w:t>
      </w:r>
      <w:r>
        <w:rPr>
          <w:lang w:val="en-GB"/>
        </w:rPr>
        <w:t xml:space="preserve">ed </w:t>
      </w:r>
      <w:r w:rsidRPr="00AD44E7">
        <w:rPr>
          <w:lang w:val="en-GB"/>
        </w:rPr>
        <w:t>thresholds.</w:t>
      </w:r>
    </w:p>
    <w:p w14:paraId="75259DF2" w14:textId="77777777" w:rsidR="00E57ACA" w:rsidRPr="00AD44E7" w:rsidRDefault="00E57ACA" w:rsidP="00E57ACA">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Allow CLI reporting on PUCCH/PUSCH and allow PUCCH to be transmitted on UL SBFD sub-bands .</w:t>
      </w:r>
    </w:p>
    <w:p w14:paraId="3F293CC8" w14:textId="77777777" w:rsidR="00E57ACA" w:rsidRPr="00AD44E7" w:rsidRDefault="00E57ACA" w:rsidP="00E57ACA">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Inter-UE CLI measurement and reporting mechanisms should prioritize UE complexity reduction. This includes minimizing CLI measurement and reporting frequency and optimizing signaling overhead.</w:t>
      </w:r>
    </w:p>
    <w:p w14:paraId="702D581D" w14:textId="77777777" w:rsidR="0010254B" w:rsidRPr="00AD44E7" w:rsidRDefault="0010254B" w:rsidP="0027190E">
      <w:pPr>
        <w:rPr>
          <w:rFonts w:eastAsiaTheme="minorEastAsia"/>
          <w:lang w:val="en-GB" w:eastAsia="zh-CN"/>
        </w:rPr>
      </w:pPr>
    </w:p>
    <w:p w14:paraId="2B9D3C81" w14:textId="77777777" w:rsidR="00EE036A" w:rsidRPr="00AD44E7" w:rsidRDefault="00EE036A" w:rsidP="00EE036A">
      <w:pPr>
        <w:pStyle w:val="Heading1"/>
        <w:jc w:val="both"/>
        <w:rPr>
          <w:lang w:val="en-US"/>
        </w:rPr>
      </w:pPr>
      <w:r w:rsidRPr="00AD44E7">
        <w:rPr>
          <w:lang w:val="en-US" w:eastAsia="zh-TW"/>
        </w:rPr>
        <w:t>Conclusion</w:t>
      </w:r>
    </w:p>
    <w:p w14:paraId="5910D48A" w14:textId="07697F83" w:rsidR="00AD44E7" w:rsidRPr="00AD44E7" w:rsidRDefault="00EE036A" w:rsidP="00AD44E7">
      <w:pPr>
        <w:spacing w:after="120"/>
        <w:jc w:val="both"/>
        <w:textAlignment w:val="center"/>
      </w:pPr>
      <w:r w:rsidRPr="00AD44E7">
        <w:t xml:space="preserve">In this contribution, we have presented several </w:t>
      </w:r>
      <w:r w:rsidR="0011072C" w:rsidRPr="00AD44E7">
        <w:t xml:space="preserve">proposals to specify the support </w:t>
      </w:r>
      <w:r w:rsidR="000F66A9" w:rsidRPr="00AD44E7">
        <w:t xml:space="preserve">of </w:t>
      </w:r>
      <w:r w:rsidR="00D05E5C" w:rsidRPr="00AD44E7">
        <w:t>the gNB-to-gNB CLI and the UE-to-UE CLI handling</w:t>
      </w:r>
      <w:r w:rsidR="00D05E5C" w:rsidRPr="00AD44E7">
        <w:rPr>
          <w:lang w:val="en-GB"/>
        </w:rPr>
        <w:t xml:space="preserve">. </w:t>
      </w:r>
      <w:r w:rsidRPr="00AD44E7">
        <w:t xml:space="preserve">We made the following proposals: </w:t>
      </w:r>
    </w:p>
    <w:p w14:paraId="3638BB06" w14:textId="77777777" w:rsidR="00AD44E7" w:rsidRDefault="00AD44E7" w:rsidP="00AD44E7"/>
    <w:p w14:paraId="69ECD55E" w14:textId="77777777" w:rsidR="00033BA8" w:rsidRPr="00AD44E7" w:rsidRDefault="00033BA8" w:rsidP="00033BA8">
      <w:pPr>
        <w:jc w:val="both"/>
        <w:rPr>
          <w:szCs w:val="20"/>
          <w:lang w:val="en-GB"/>
        </w:rPr>
      </w:pPr>
    </w:p>
    <w:p w14:paraId="3DC2709C" w14:textId="77777777" w:rsidR="00033BA8" w:rsidRPr="006C6E8E" w:rsidRDefault="00033BA8" w:rsidP="00033BA8">
      <w:pPr>
        <w:pStyle w:val="ListParagraph"/>
        <w:numPr>
          <w:ilvl w:val="0"/>
          <w:numId w:val="9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Beam pairing and beam nulling are both supported and specified in Rel-19: Beam nulling for FR1 and beam pairing for FR2.</w:t>
      </w:r>
    </w:p>
    <w:p w14:paraId="6766D501" w14:textId="77777777" w:rsidR="00033BA8" w:rsidRPr="006C6E8E" w:rsidRDefault="00033BA8" w:rsidP="00033BA8">
      <w:pPr>
        <w:pStyle w:val="ListParagraph"/>
        <w:numPr>
          <w:ilvl w:val="0"/>
          <w:numId w:val="9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 xml:space="preserve">Coordinate CSI-RS configurations between different gNBs to reduce impact on CLI estimation performance at the victim gNB. </w:t>
      </w:r>
    </w:p>
    <w:p w14:paraId="6F067A60" w14:textId="77777777" w:rsidR="00033BA8" w:rsidRPr="006C6E8E" w:rsidRDefault="00033BA8" w:rsidP="00033BA8">
      <w:pPr>
        <w:pStyle w:val="ListParagraph"/>
        <w:numPr>
          <w:ilvl w:val="0"/>
          <w:numId w:val="9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Non-transparent UL resource muting is not supported for gNB-to-gNB co-channel CLI handling in Rel-19 as it increases the UE implementation complexity, the signalling overhead and has high specification impact.</w:t>
      </w:r>
    </w:p>
    <w:p w14:paraId="6691AE1B" w14:textId="77777777" w:rsidR="00033BA8" w:rsidRPr="006C6E8E" w:rsidRDefault="00033BA8" w:rsidP="00033BA8">
      <w:pPr>
        <w:pStyle w:val="ListParagraph"/>
        <w:numPr>
          <w:ilvl w:val="0"/>
          <w:numId w:val="96"/>
        </w:numPr>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7DD13DF6" w14:textId="77777777" w:rsidR="00033BA8" w:rsidRPr="006C6E8E" w:rsidRDefault="00033BA8" w:rsidP="00033BA8">
      <w:pPr>
        <w:pStyle w:val="ListParagraph"/>
        <w:numPr>
          <w:ilvl w:val="0"/>
          <w:numId w:val="96"/>
        </w:numPr>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The UE to report a specified/configurable number N of the highest L1-SRS-RSRPs from all the measured SRS resources of different potential agressor UEs.</w:t>
      </w:r>
    </w:p>
    <w:p w14:paraId="5F4305BE" w14:textId="77777777" w:rsidR="00033BA8" w:rsidRPr="006C6E8E" w:rsidRDefault="00033BA8" w:rsidP="00033BA8">
      <w:pPr>
        <w:pStyle w:val="ListParagraph"/>
        <w:numPr>
          <w:ilvl w:val="0"/>
          <w:numId w:val="96"/>
        </w:numPr>
        <w:jc w:val="both"/>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The network to configure an SRS resource subset restriction and the UE to report the L1-SRS-RSRP  based on the SRS resources in the SRS resource subset.</w:t>
      </w:r>
    </w:p>
    <w:p w14:paraId="29404223" w14:textId="77777777" w:rsidR="00033BA8" w:rsidRPr="00526BE7" w:rsidRDefault="00033BA8" w:rsidP="00033BA8">
      <w:pPr>
        <w:pStyle w:val="ListParagraph"/>
        <w:numPr>
          <w:ilvl w:val="0"/>
          <w:numId w:val="96"/>
        </w:numPr>
        <w:jc w:val="both"/>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If a multiple ports SRS resource is configured for L1-SRS-RSRP measurement, the UE can measure/report the L1-SRS-RSRP for each SRS port.</w:t>
      </w:r>
    </w:p>
    <w:p w14:paraId="2135F2B6" w14:textId="77777777" w:rsidR="00033BA8" w:rsidRPr="00AD44E7" w:rsidRDefault="00033BA8" w:rsidP="00033BA8">
      <w:pPr>
        <w:pStyle w:val="ListParagraph"/>
        <w:numPr>
          <w:ilvl w:val="0"/>
          <w:numId w:val="9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Allow CLI reporting on PUCCH/PUSCH and allow PUCCH to be transmitted on UL SBFD sub-bands .</w:t>
      </w:r>
    </w:p>
    <w:p w14:paraId="2DACFA39" w14:textId="77777777" w:rsidR="00033BA8" w:rsidRPr="00AD44E7" w:rsidRDefault="00033BA8" w:rsidP="00033BA8">
      <w:pPr>
        <w:pStyle w:val="ListParagraph"/>
        <w:numPr>
          <w:ilvl w:val="0"/>
          <w:numId w:val="9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Inter-UE CLI measurement and reporting mechanisms should prioritize UE complexity reduction. This includes minimizing CLI measurement and reporting frequency and optimizing signaling overhead.</w:t>
      </w:r>
    </w:p>
    <w:p w14:paraId="600828D5" w14:textId="77777777" w:rsidR="00033BA8" w:rsidRDefault="00033BA8" w:rsidP="00033BA8"/>
    <w:p w14:paraId="57176690" w14:textId="77777777" w:rsidR="000E405C" w:rsidRPr="00AD44E7" w:rsidRDefault="000E405C" w:rsidP="000E405C">
      <w:pPr>
        <w:jc w:val="both"/>
        <w:rPr>
          <w:lang w:eastAsia="zh-TW"/>
        </w:rPr>
      </w:pPr>
    </w:p>
    <w:p w14:paraId="40F687A2" w14:textId="77777777" w:rsidR="00EE036A" w:rsidRPr="00AD44E7" w:rsidRDefault="00EE036A" w:rsidP="00EE036A">
      <w:pPr>
        <w:pStyle w:val="Heading1"/>
        <w:jc w:val="both"/>
        <w:rPr>
          <w:lang w:val="en-US"/>
        </w:rPr>
      </w:pPr>
      <w:r w:rsidRPr="00AD44E7">
        <w:rPr>
          <w:rFonts w:hint="eastAsia"/>
          <w:lang w:val="en-US" w:eastAsia="zh-TW"/>
        </w:rPr>
        <w:t>References</w:t>
      </w:r>
    </w:p>
    <w:p w14:paraId="21E3F6F9" w14:textId="243E669E" w:rsidR="007C3BC4" w:rsidRPr="00AD44E7" w:rsidRDefault="007C3BC4" w:rsidP="00EE036A">
      <w:pPr>
        <w:pStyle w:val="References"/>
        <w:numPr>
          <w:ilvl w:val="0"/>
          <w:numId w:val="3"/>
        </w:numPr>
        <w:autoSpaceDE w:val="0"/>
        <w:autoSpaceDN w:val="0"/>
        <w:snapToGrid w:val="0"/>
        <w:spacing w:after="60"/>
        <w:jc w:val="both"/>
      </w:pPr>
      <w:bookmarkStart w:id="3" w:name="_Ref158626532"/>
      <w:bookmarkStart w:id="4" w:name="_Ref158202246"/>
      <w:r w:rsidRPr="00AD44E7">
        <w:t>RP-234035 “New WID: Evolution of NR duplex operation: Sub-band full duplex (SBFD)”, CMCC (Moderator, RAN1 VC), RAN#102, Edinburgh, Scotland, December 11-15, 2023.</w:t>
      </w:r>
      <w:bookmarkEnd w:id="3"/>
    </w:p>
    <w:p w14:paraId="0D4EC287" w14:textId="7D148F55" w:rsidR="00533361" w:rsidRPr="00AD44E7" w:rsidRDefault="00533361" w:rsidP="00533361">
      <w:pPr>
        <w:pStyle w:val="References"/>
        <w:numPr>
          <w:ilvl w:val="0"/>
          <w:numId w:val="3"/>
        </w:numPr>
        <w:autoSpaceDE w:val="0"/>
        <w:autoSpaceDN w:val="0"/>
        <w:snapToGrid w:val="0"/>
        <w:spacing w:after="60"/>
        <w:jc w:val="both"/>
      </w:pPr>
      <w:bookmarkStart w:id="5" w:name="_Ref158658947"/>
      <w:r w:rsidRPr="00AD44E7">
        <w:t xml:space="preserve">3GPP </w:t>
      </w:r>
      <w:bookmarkStart w:id="6" w:name="specType1"/>
      <w:r w:rsidRPr="00AD44E7">
        <w:t>TR</w:t>
      </w:r>
      <w:bookmarkEnd w:id="6"/>
      <w:r w:rsidRPr="00AD44E7">
        <w:t xml:space="preserve"> </w:t>
      </w:r>
      <w:bookmarkStart w:id="7" w:name="specNumber"/>
      <w:r w:rsidRPr="00AD44E7">
        <w:t>38.</w:t>
      </w:r>
      <w:bookmarkEnd w:id="7"/>
      <w:r w:rsidRPr="00AD44E7">
        <w:t xml:space="preserve">858 </w:t>
      </w:r>
      <w:bookmarkStart w:id="8" w:name="specVersion"/>
      <w:r w:rsidRPr="00AD44E7">
        <w:t>V18.0.</w:t>
      </w:r>
      <w:bookmarkEnd w:id="8"/>
      <w:r w:rsidRPr="00AD44E7">
        <w:t>0 “Study on Evolution of NR Duplex Operation”</w:t>
      </w:r>
      <w:bookmarkEnd w:id="5"/>
    </w:p>
    <w:p w14:paraId="5F4B4449" w14:textId="658796EF" w:rsidR="00EF5A49" w:rsidRPr="00AD44E7" w:rsidRDefault="00EF5A49" w:rsidP="00533361">
      <w:pPr>
        <w:pStyle w:val="References"/>
        <w:numPr>
          <w:ilvl w:val="0"/>
          <w:numId w:val="3"/>
        </w:numPr>
        <w:autoSpaceDE w:val="0"/>
        <w:autoSpaceDN w:val="0"/>
        <w:snapToGrid w:val="0"/>
        <w:spacing w:after="60"/>
        <w:jc w:val="both"/>
      </w:pPr>
      <w:bookmarkStart w:id="9" w:name="_Ref158816486"/>
      <w:r w:rsidRPr="00AD44E7">
        <w:t>R1-2308336</w:t>
      </w:r>
      <w:r w:rsidRPr="00AD44E7">
        <w:rPr>
          <w:lang w:eastAsia="zh-CN"/>
        </w:rPr>
        <w:t xml:space="preserve">, Discussion on evaluation and methodologies on evolution of NR duplex operation, Huawei, </w:t>
      </w:r>
      <w:proofErr w:type="spellStart"/>
      <w:r w:rsidRPr="00AD44E7">
        <w:rPr>
          <w:lang w:eastAsia="zh-CN"/>
        </w:rPr>
        <w:t>HiSilicon</w:t>
      </w:r>
      <w:bookmarkEnd w:id="9"/>
      <w:proofErr w:type="spellEnd"/>
    </w:p>
    <w:p w14:paraId="12FD96CF" w14:textId="258F4DC1" w:rsidR="00EF5A49" w:rsidRPr="00AD44E7" w:rsidRDefault="00EF5A49" w:rsidP="00533361">
      <w:pPr>
        <w:pStyle w:val="References"/>
        <w:numPr>
          <w:ilvl w:val="0"/>
          <w:numId w:val="3"/>
        </w:numPr>
        <w:autoSpaceDE w:val="0"/>
        <w:autoSpaceDN w:val="0"/>
        <w:snapToGrid w:val="0"/>
        <w:spacing w:after="60"/>
        <w:jc w:val="both"/>
      </w:pPr>
      <w:bookmarkStart w:id="10" w:name="_Ref158816488"/>
      <w:r w:rsidRPr="00AD44E7">
        <w:rPr>
          <w:lang w:eastAsia="zh-CN"/>
        </w:rPr>
        <w:t>R1-2307922, On Deployment scenarios and evaluation Methodology for NR duplex evolution, Qualcomm Incorporated</w:t>
      </w:r>
      <w:bookmarkEnd w:id="10"/>
    </w:p>
    <w:p w14:paraId="629A062F" w14:textId="49EC318F" w:rsidR="004272CF" w:rsidRPr="00AD44E7" w:rsidRDefault="004272CF" w:rsidP="00533361">
      <w:pPr>
        <w:pStyle w:val="References"/>
        <w:numPr>
          <w:ilvl w:val="0"/>
          <w:numId w:val="3"/>
        </w:numPr>
        <w:autoSpaceDE w:val="0"/>
        <w:autoSpaceDN w:val="0"/>
        <w:snapToGrid w:val="0"/>
        <w:spacing w:after="60"/>
        <w:jc w:val="both"/>
      </w:pPr>
      <w:bookmarkStart w:id="11" w:name="_Ref158901800"/>
      <w:r w:rsidRPr="00AD44E7">
        <w:rPr>
          <w:lang w:eastAsia="zh-CN"/>
        </w:rPr>
        <w:lastRenderedPageBreak/>
        <w:t>R1-2306874, On the evaluation methodology for NR duplexing enhancements, Nokia, Nokia Shanghai Bell</w:t>
      </w:r>
      <w:bookmarkEnd w:id="11"/>
    </w:p>
    <w:p w14:paraId="0926C284" w14:textId="08F6E018" w:rsidR="005C4548" w:rsidRPr="00E5549B" w:rsidRDefault="004272CF" w:rsidP="00E5549B">
      <w:pPr>
        <w:pStyle w:val="References"/>
        <w:numPr>
          <w:ilvl w:val="0"/>
          <w:numId w:val="3"/>
        </w:numPr>
        <w:autoSpaceDE w:val="0"/>
        <w:autoSpaceDN w:val="0"/>
        <w:snapToGrid w:val="0"/>
        <w:spacing w:after="60"/>
        <w:jc w:val="both"/>
      </w:pPr>
      <w:bookmarkStart w:id="12" w:name="_Ref158901802"/>
      <w:r w:rsidRPr="00AD44E7">
        <w:rPr>
          <w:lang w:eastAsia="zh-CN"/>
        </w:rPr>
        <w:t>R1-2307922, On Deployment scenarios and evaluation Methodology for NR duplex evolution, Qualcomm Incorporated</w:t>
      </w:r>
      <w:bookmarkEnd w:id="4"/>
      <w:bookmarkEnd w:id="12"/>
    </w:p>
    <w:sectPr w:rsidR="005C4548" w:rsidRPr="00E554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6"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6"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7"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1"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7"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5"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1"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2"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3"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5"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2"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2"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5"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0"/>
  </w:num>
  <w:num w:numId="2" w16cid:durableId="2100910162">
    <w:abstractNumId w:val="3"/>
  </w:num>
  <w:num w:numId="3" w16cid:durableId="329724433">
    <w:abstractNumId w:val="38"/>
  </w:num>
  <w:num w:numId="4" w16cid:durableId="502550087">
    <w:abstractNumId w:val="77"/>
  </w:num>
  <w:num w:numId="5" w16cid:durableId="1939870257">
    <w:abstractNumId w:val="10"/>
  </w:num>
  <w:num w:numId="6" w16cid:durableId="1579515392">
    <w:abstractNumId w:val="73"/>
  </w:num>
  <w:num w:numId="7" w16cid:durableId="294604523">
    <w:abstractNumId w:val="31"/>
  </w:num>
  <w:num w:numId="8" w16cid:durableId="1812138722">
    <w:abstractNumId w:val="27"/>
  </w:num>
  <w:num w:numId="9" w16cid:durableId="556744752">
    <w:abstractNumId w:val="69"/>
  </w:num>
  <w:num w:numId="10" w16cid:durableId="1096099468">
    <w:abstractNumId w:val="63"/>
  </w:num>
  <w:num w:numId="11" w16cid:durableId="953370088">
    <w:abstractNumId w:val="14"/>
  </w:num>
  <w:num w:numId="12" w16cid:durableId="1572157965">
    <w:abstractNumId w:val="6"/>
  </w:num>
  <w:num w:numId="13" w16cid:durableId="421487754">
    <w:abstractNumId w:val="67"/>
  </w:num>
  <w:num w:numId="14" w16cid:durableId="1818716288">
    <w:abstractNumId w:val="51"/>
  </w:num>
  <w:num w:numId="15" w16cid:durableId="1565334203">
    <w:abstractNumId w:val="58"/>
  </w:num>
  <w:num w:numId="16" w16cid:durableId="830872576">
    <w:abstractNumId w:val="93"/>
  </w:num>
  <w:num w:numId="17" w16cid:durableId="706443122">
    <w:abstractNumId w:val="11"/>
  </w:num>
  <w:num w:numId="18" w16cid:durableId="2075927906">
    <w:abstractNumId w:val="68"/>
  </w:num>
  <w:num w:numId="19" w16cid:durableId="440996695">
    <w:abstractNumId w:val="79"/>
  </w:num>
  <w:num w:numId="20" w16cid:durableId="1254819265">
    <w:abstractNumId w:val="49"/>
  </w:num>
  <w:num w:numId="21" w16cid:durableId="2075859761">
    <w:abstractNumId w:val="53"/>
  </w:num>
  <w:num w:numId="22" w16cid:durableId="215820528">
    <w:abstractNumId w:val="34"/>
  </w:num>
  <w:num w:numId="23" w16cid:durableId="885918103">
    <w:abstractNumId w:val="7"/>
  </w:num>
  <w:num w:numId="24" w16cid:durableId="1583372826">
    <w:abstractNumId w:val="12"/>
  </w:num>
  <w:num w:numId="25" w16cid:durableId="39477220">
    <w:abstractNumId w:val="82"/>
  </w:num>
  <w:num w:numId="26" w16cid:durableId="1719668145">
    <w:abstractNumId w:val="80"/>
  </w:num>
  <w:num w:numId="27" w16cid:durableId="692457513">
    <w:abstractNumId w:val="57"/>
  </w:num>
  <w:num w:numId="28" w16cid:durableId="2142647401">
    <w:abstractNumId w:val="76"/>
  </w:num>
  <w:num w:numId="29" w16cid:durableId="1685597283">
    <w:abstractNumId w:val="47"/>
  </w:num>
  <w:num w:numId="30" w16cid:durableId="1043096829">
    <w:abstractNumId w:val="87"/>
  </w:num>
  <w:num w:numId="31" w16cid:durableId="498428937">
    <w:abstractNumId w:val="71"/>
  </w:num>
  <w:num w:numId="32" w16cid:durableId="1949966076">
    <w:abstractNumId w:val="65"/>
  </w:num>
  <w:num w:numId="33" w16cid:durableId="157380159">
    <w:abstractNumId w:val="28"/>
  </w:num>
  <w:num w:numId="34" w16cid:durableId="1396123687">
    <w:abstractNumId w:val="70"/>
  </w:num>
  <w:num w:numId="35" w16cid:durableId="1403986591">
    <w:abstractNumId w:val="91"/>
  </w:num>
  <w:num w:numId="36" w16cid:durableId="728842719">
    <w:abstractNumId w:val="29"/>
  </w:num>
  <w:num w:numId="37" w16cid:durableId="1652518254">
    <w:abstractNumId w:val="16"/>
  </w:num>
  <w:num w:numId="38" w16cid:durableId="1854803906">
    <w:abstractNumId w:val="40"/>
  </w:num>
  <w:num w:numId="39" w16cid:durableId="490870540">
    <w:abstractNumId w:val="26"/>
  </w:num>
  <w:num w:numId="40" w16cid:durableId="599989674">
    <w:abstractNumId w:val="9"/>
  </w:num>
  <w:num w:numId="41" w16cid:durableId="962686721">
    <w:abstractNumId w:val="60"/>
  </w:num>
  <w:num w:numId="42" w16cid:durableId="307511613">
    <w:abstractNumId w:val="90"/>
  </w:num>
  <w:num w:numId="43" w16cid:durableId="322123341">
    <w:abstractNumId w:val="33"/>
  </w:num>
  <w:num w:numId="44" w16cid:durableId="1890798390">
    <w:abstractNumId w:val="94"/>
  </w:num>
  <w:num w:numId="45" w16cid:durableId="2118131690">
    <w:abstractNumId w:val="89"/>
  </w:num>
  <w:num w:numId="46" w16cid:durableId="1345277809">
    <w:abstractNumId w:val="44"/>
  </w:num>
  <w:num w:numId="47" w16cid:durableId="773406897">
    <w:abstractNumId w:val="72"/>
  </w:num>
  <w:num w:numId="48" w16cid:durableId="595023420">
    <w:abstractNumId w:val="64"/>
  </w:num>
  <w:num w:numId="49" w16cid:durableId="2079598080">
    <w:abstractNumId w:val="78"/>
  </w:num>
  <w:num w:numId="50" w16cid:durableId="415906667">
    <w:abstractNumId w:val="37"/>
  </w:num>
  <w:num w:numId="51" w16cid:durableId="1214580962">
    <w:abstractNumId w:val="83"/>
  </w:num>
  <w:num w:numId="52" w16cid:durableId="1342390268">
    <w:abstractNumId w:val="81"/>
  </w:num>
  <w:num w:numId="53" w16cid:durableId="1815636564">
    <w:abstractNumId w:val="45"/>
  </w:num>
  <w:num w:numId="54" w16cid:durableId="1933313435">
    <w:abstractNumId w:val="5"/>
  </w:num>
  <w:num w:numId="55" w16cid:durableId="528227147">
    <w:abstractNumId w:val="18"/>
  </w:num>
  <w:num w:numId="56" w16cid:durableId="545069915">
    <w:abstractNumId w:val="24"/>
  </w:num>
  <w:num w:numId="57" w16cid:durableId="885990808">
    <w:abstractNumId w:val="35"/>
  </w:num>
  <w:num w:numId="58" w16cid:durableId="1016925072">
    <w:abstractNumId w:val="52"/>
  </w:num>
  <w:num w:numId="59" w16cid:durableId="627859321">
    <w:abstractNumId w:val="8"/>
  </w:num>
  <w:num w:numId="60" w16cid:durableId="926881786">
    <w:abstractNumId w:val="43"/>
  </w:num>
  <w:num w:numId="61" w16cid:durableId="1724330635">
    <w:abstractNumId w:val="15"/>
  </w:num>
  <w:num w:numId="62" w16cid:durableId="693773030">
    <w:abstractNumId w:val="92"/>
  </w:num>
  <w:num w:numId="63" w16cid:durableId="39091479">
    <w:abstractNumId w:val="0"/>
  </w:num>
  <w:num w:numId="64" w16cid:durableId="12032522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46"/>
  </w:num>
  <w:num w:numId="67" w16cid:durableId="142894702">
    <w:abstractNumId w:val="86"/>
  </w:num>
  <w:num w:numId="68" w16cid:durableId="1625191128">
    <w:abstractNumId w:val="39"/>
  </w:num>
  <w:num w:numId="69" w16cid:durableId="337658714">
    <w:abstractNumId w:val="54"/>
  </w:num>
  <w:num w:numId="70" w16cid:durableId="584850547">
    <w:abstractNumId w:val="84"/>
  </w:num>
  <w:num w:numId="71" w16cid:durableId="1630626996">
    <w:abstractNumId w:val="66"/>
  </w:num>
  <w:num w:numId="72" w16cid:durableId="1806577308">
    <w:abstractNumId w:val="61"/>
  </w:num>
  <w:num w:numId="73" w16cid:durableId="1459832851">
    <w:abstractNumId w:val="59"/>
  </w:num>
  <w:num w:numId="74" w16cid:durableId="2038434122">
    <w:abstractNumId w:val="95"/>
  </w:num>
  <w:num w:numId="75" w16cid:durableId="148522607">
    <w:abstractNumId w:val="41"/>
  </w:num>
  <w:num w:numId="76" w16cid:durableId="1927839054">
    <w:abstractNumId w:val="21"/>
  </w:num>
  <w:num w:numId="77" w16cid:durableId="366881415">
    <w:abstractNumId w:val="22"/>
  </w:num>
  <w:num w:numId="78" w16cid:durableId="898174974">
    <w:abstractNumId w:val="17"/>
  </w:num>
  <w:num w:numId="79" w16cid:durableId="703557573">
    <w:abstractNumId w:val="55"/>
  </w:num>
  <w:num w:numId="80" w16cid:durableId="1962151705">
    <w:abstractNumId w:val="85"/>
  </w:num>
  <w:num w:numId="81" w16cid:durableId="1619482691">
    <w:abstractNumId w:val="30"/>
  </w:num>
  <w:num w:numId="82" w16cid:durableId="1738358644">
    <w:abstractNumId w:val="50"/>
  </w:num>
  <w:num w:numId="83" w16cid:durableId="1402368639">
    <w:abstractNumId w:val="23"/>
  </w:num>
  <w:num w:numId="84" w16cid:durableId="104426519">
    <w:abstractNumId w:val="2"/>
  </w:num>
  <w:num w:numId="85" w16cid:durableId="1277787952">
    <w:abstractNumId w:val="19"/>
  </w:num>
  <w:num w:numId="86" w16cid:durableId="1572152929">
    <w:abstractNumId w:val="4"/>
  </w:num>
  <w:num w:numId="87" w16cid:durableId="362749171">
    <w:abstractNumId w:val="75"/>
  </w:num>
  <w:num w:numId="88" w16cid:durableId="545486371">
    <w:abstractNumId w:val="13"/>
  </w:num>
  <w:num w:numId="89" w16cid:durableId="2058505051">
    <w:abstractNumId w:val="42"/>
  </w:num>
  <w:num w:numId="90" w16cid:durableId="895236134">
    <w:abstractNumId w:val="88"/>
  </w:num>
  <w:num w:numId="91" w16cid:durableId="935334197">
    <w:abstractNumId w:val="48"/>
  </w:num>
  <w:num w:numId="92" w16cid:durableId="71316081">
    <w:abstractNumId w:val="25"/>
  </w:num>
  <w:num w:numId="93" w16cid:durableId="240260555">
    <w:abstractNumId w:val="74"/>
  </w:num>
  <w:num w:numId="94" w16cid:durableId="2026905828">
    <w:abstractNumId w:val="56"/>
  </w:num>
  <w:num w:numId="95" w16cid:durableId="1702583604">
    <w:abstractNumId w:val="32"/>
  </w:num>
  <w:num w:numId="96" w16cid:durableId="1800494854">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BF"/>
    <w:rsid w:val="00033BA8"/>
    <w:rsid w:val="00034069"/>
    <w:rsid w:val="00036529"/>
    <w:rsid w:val="000368A3"/>
    <w:rsid w:val="00044B2C"/>
    <w:rsid w:val="0004699D"/>
    <w:rsid w:val="00046B42"/>
    <w:rsid w:val="00051F2E"/>
    <w:rsid w:val="00052596"/>
    <w:rsid w:val="000563D2"/>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E0269"/>
    <w:rsid w:val="000E405C"/>
    <w:rsid w:val="000E5240"/>
    <w:rsid w:val="000F1478"/>
    <w:rsid w:val="000F2C09"/>
    <w:rsid w:val="000F602A"/>
    <w:rsid w:val="000F66A9"/>
    <w:rsid w:val="000F750B"/>
    <w:rsid w:val="0010254B"/>
    <w:rsid w:val="0011072C"/>
    <w:rsid w:val="00111B8D"/>
    <w:rsid w:val="00112BF2"/>
    <w:rsid w:val="00136085"/>
    <w:rsid w:val="00137338"/>
    <w:rsid w:val="00140F65"/>
    <w:rsid w:val="001457BB"/>
    <w:rsid w:val="0014619C"/>
    <w:rsid w:val="00154337"/>
    <w:rsid w:val="00165976"/>
    <w:rsid w:val="00165EB4"/>
    <w:rsid w:val="00175C70"/>
    <w:rsid w:val="00180900"/>
    <w:rsid w:val="00185856"/>
    <w:rsid w:val="001862B5"/>
    <w:rsid w:val="001870EE"/>
    <w:rsid w:val="00190600"/>
    <w:rsid w:val="001907D3"/>
    <w:rsid w:val="001921EC"/>
    <w:rsid w:val="00197D2F"/>
    <w:rsid w:val="001A45ED"/>
    <w:rsid w:val="001A7652"/>
    <w:rsid w:val="001B328E"/>
    <w:rsid w:val="001B52C2"/>
    <w:rsid w:val="001C170D"/>
    <w:rsid w:val="001C195A"/>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3B9A"/>
    <w:rsid w:val="00247B24"/>
    <w:rsid w:val="00251BD1"/>
    <w:rsid w:val="00252F52"/>
    <w:rsid w:val="00262A11"/>
    <w:rsid w:val="00263B6B"/>
    <w:rsid w:val="00266169"/>
    <w:rsid w:val="00270AF4"/>
    <w:rsid w:val="00270C8B"/>
    <w:rsid w:val="0027190E"/>
    <w:rsid w:val="002738C8"/>
    <w:rsid w:val="00275ECE"/>
    <w:rsid w:val="002A1594"/>
    <w:rsid w:val="002A6F53"/>
    <w:rsid w:val="002A7B53"/>
    <w:rsid w:val="002B633E"/>
    <w:rsid w:val="002B7588"/>
    <w:rsid w:val="002C27F9"/>
    <w:rsid w:val="002C31F2"/>
    <w:rsid w:val="002C3747"/>
    <w:rsid w:val="002C4A67"/>
    <w:rsid w:val="002C6C46"/>
    <w:rsid w:val="002C7BA6"/>
    <w:rsid w:val="002D3AF6"/>
    <w:rsid w:val="002E0638"/>
    <w:rsid w:val="002E40D5"/>
    <w:rsid w:val="002F7D76"/>
    <w:rsid w:val="00300658"/>
    <w:rsid w:val="00300981"/>
    <w:rsid w:val="00317878"/>
    <w:rsid w:val="00331E7B"/>
    <w:rsid w:val="003323D0"/>
    <w:rsid w:val="0034059A"/>
    <w:rsid w:val="0034185A"/>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51726"/>
    <w:rsid w:val="004659FC"/>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D56D7"/>
    <w:rsid w:val="004D7162"/>
    <w:rsid w:val="004E4AFF"/>
    <w:rsid w:val="004F2A1E"/>
    <w:rsid w:val="004F36E2"/>
    <w:rsid w:val="005002C4"/>
    <w:rsid w:val="0050401D"/>
    <w:rsid w:val="0051403B"/>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711"/>
    <w:rsid w:val="00552C39"/>
    <w:rsid w:val="00561A59"/>
    <w:rsid w:val="0056311F"/>
    <w:rsid w:val="005735F3"/>
    <w:rsid w:val="00582541"/>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20A98"/>
    <w:rsid w:val="006266FD"/>
    <w:rsid w:val="006277EE"/>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38C2"/>
    <w:rsid w:val="007570B8"/>
    <w:rsid w:val="00766DCB"/>
    <w:rsid w:val="00780487"/>
    <w:rsid w:val="00780E65"/>
    <w:rsid w:val="00782097"/>
    <w:rsid w:val="00782131"/>
    <w:rsid w:val="00790A9B"/>
    <w:rsid w:val="007920E6"/>
    <w:rsid w:val="00792DFF"/>
    <w:rsid w:val="007A2193"/>
    <w:rsid w:val="007A6E58"/>
    <w:rsid w:val="007B0D6D"/>
    <w:rsid w:val="007B28DB"/>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4E5C"/>
    <w:rsid w:val="007F5A5A"/>
    <w:rsid w:val="008109E8"/>
    <w:rsid w:val="008153A1"/>
    <w:rsid w:val="008159A2"/>
    <w:rsid w:val="00815A34"/>
    <w:rsid w:val="00820B6A"/>
    <w:rsid w:val="0082106D"/>
    <w:rsid w:val="00835449"/>
    <w:rsid w:val="00840FE0"/>
    <w:rsid w:val="008503DC"/>
    <w:rsid w:val="00851372"/>
    <w:rsid w:val="00854293"/>
    <w:rsid w:val="0086200C"/>
    <w:rsid w:val="008653A8"/>
    <w:rsid w:val="0087052F"/>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A7A24"/>
    <w:rsid w:val="009B0333"/>
    <w:rsid w:val="009C0BCB"/>
    <w:rsid w:val="009C192C"/>
    <w:rsid w:val="009C4244"/>
    <w:rsid w:val="009C70DF"/>
    <w:rsid w:val="009D1735"/>
    <w:rsid w:val="009D1F32"/>
    <w:rsid w:val="009D2B3A"/>
    <w:rsid w:val="009D52D5"/>
    <w:rsid w:val="009D6D8B"/>
    <w:rsid w:val="009E1C6D"/>
    <w:rsid w:val="009F3918"/>
    <w:rsid w:val="00A035B4"/>
    <w:rsid w:val="00A07E8D"/>
    <w:rsid w:val="00A07ED6"/>
    <w:rsid w:val="00A1241B"/>
    <w:rsid w:val="00A12B28"/>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311B"/>
    <w:rsid w:val="00A709D8"/>
    <w:rsid w:val="00A72E30"/>
    <w:rsid w:val="00A81E1E"/>
    <w:rsid w:val="00A8319B"/>
    <w:rsid w:val="00A87D0B"/>
    <w:rsid w:val="00A964A1"/>
    <w:rsid w:val="00A979A7"/>
    <w:rsid w:val="00AA6995"/>
    <w:rsid w:val="00AB46E0"/>
    <w:rsid w:val="00AB5983"/>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2E4F"/>
    <w:rsid w:val="00B53F69"/>
    <w:rsid w:val="00B62FB8"/>
    <w:rsid w:val="00B64581"/>
    <w:rsid w:val="00B70443"/>
    <w:rsid w:val="00B7137E"/>
    <w:rsid w:val="00B76DAE"/>
    <w:rsid w:val="00B77DEF"/>
    <w:rsid w:val="00B801C8"/>
    <w:rsid w:val="00B8145A"/>
    <w:rsid w:val="00B8278A"/>
    <w:rsid w:val="00B87D9C"/>
    <w:rsid w:val="00B929A7"/>
    <w:rsid w:val="00BA29D4"/>
    <w:rsid w:val="00BB3C13"/>
    <w:rsid w:val="00BB5737"/>
    <w:rsid w:val="00BB7051"/>
    <w:rsid w:val="00BC169D"/>
    <w:rsid w:val="00BC35D6"/>
    <w:rsid w:val="00BC3B47"/>
    <w:rsid w:val="00BC5876"/>
    <w:rsid w:val="00BD2577"/>
    <w:rsid w:val="00BD4127"/>
    <w:rsid w:val="00BD7C7C"/>
    <w:rsid w:val="00BE1FD3"/>
    <w:rsid w:val="00BE28AF"/>
    <w:rsid w:val="00BE474A"/>
    <w:rsid w:val="00BE7FA4"/>
    <w:rsid w:val="00C01B6F"/>
    <w:rsid w:val="00C02E18"/>
    <w:rsid w:val="00C20577"/>
    <w:rsid w:val="00C24D14"/>
    <w:rsid w:val="00C36C94"/>
    <w:rsid w:val="00C37F2D"/>
    <w:rsid w:val="00C411C7"/>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80A76"/>
    <w:rsid w:val="00D82F03"/>
    <w:rsid w:val="00D878E4"/>
    <w:rsid w:val="00D91EE1"/>
    <w:rsid w:val="00D9453F"/>
    <w:rsid w:val="00D959CC"/>
    <w:rsid w:val="00D976AD"/>
    <w:rsid w:val="00DA3835"/>
    <w:rsid w:val="00DA775B"/>
    <w:rsid w:val="00DB056D"/>
    <w:rsid w:val="00DB2775"/>
    <w:rsid w:val="00DB69AF"/>
    <w:rsid w:val="00DB726F"/>
    <w:rsid w:val="00DC076D"/>
    <w:rsid w:val="00DE3B98"/>
    <w:rsid w:val="00E02BF9"/>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7F8F"/>
    <w:rsid w:val="00E80AC0"/>
    <w:rsid w:val="00E8125C"/>
    <w:rsid w:val="00E84FC7"/>
    <w:rsid w:val="00E86675"/>
    <w:rsid w:val="00E8704D"/>
    <w:rsid w:val="00E93782"/>
    <w:rsid w:val="00E95650"/>
    <w:rsid w:val="00E95A7A"/>
    <w:rsid w:val="00EA5594"/>
    <w:rsid w:val="00EB34E2"/>
    <w:rsid w:val="00EB60F6"/>
    <w:rsid w:val="00EB798A"/>
    <w:rsid w:val="00EC27D7"/>
    <w:rsid w:val="00ED4206"/>
    <w:rsid w:val="00ED53B0"/>
    <w:rsid w:val="00EE036A"/>
    <w:rsid w:val="00EE229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21FDB"/>
    <w:rsid w:val="00F25986"/>
    <w:rsid w:val="00F27451"/>
    <w:rsid w:val="00F3310E"/>
    <w:rsid w:val="00F331BE"/>
    <w:rsid w:val="00F35E44"/>
    <w:rsid w:val="00F44E1F"/>
    <w:rsid w:val="00F458DA"/>
    <w:rsid w:val="00F477EC"/>
    <w:rsid w:val="00F566F7"/>
    <w:rsid w:val="00F60A14"/>
    <w:rsid w:val="00F610CB"/>
    <w:rsid w:val="00F62492"/>
    <w:rsid w:val="00F65D65"/>
    <w:rsid w:val="00F67808"/>
    <w:rsid w:val="00F76165"/>
    <w:rsid w:val="00F76CC9"/>
    <w:rsid w:val="00F832BF"/>
    <w:rsid w:val="00F83AF4"/>
    <w:rsid w:val="00F83C48"/>
    <w:rsid w:val="00F84C18"/>
    <w:rsid w:val="00F84E53"/>
    <w:rsid w:val="00F86486"/>
    <w:rsid w:val="00F94D48"/>
    <w:rsid w:val="00FA5A4F"/>
    <w:rsid w:val="00FB5A21"/>
    <w:rsid w:val="00FB72E0"/>
    <w:rsid w:val="00FC3098"/>
    <w:rsid w:val="00FC5079"/>
    <w:rsid w:val="00FC5A32"/>
    <w:rsid w:val="00FC5ACE"/>
    <w:rsid w:val="00FC62B3"/>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WG1_RL1/TSGR1_118/Invitatio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2326</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cp:revision>
  <dcterms:created xsi:type="dcterms:W3CDTF">2024-08-08T15:45:00Z</dcterms:created>
  <dcterms:modified xsi:type="dcterms:W3CDTF">2024-08-09T13:45:00Z</dcterms:modified>
</cp:coreProperties>
</file>